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0B6ECF">
      <w:pPr>
        <w:spacing w:before="240" w:after="60" w:line="720" w:lineRule="exact"/>
        <w:jc w:val="center"/>
        <w:rPr>
          <w:rFonts w:ascii="Calibri" w:eastAsia="方正小标宋简体" w:hAnsi="Calibri" w:cs="Times New Roman"/>
          <w:bCs/>
          <w:sz w:val="44"/>
          <w:szCs w:val="24"/>
        </w:rPr>
      </w:pPr>
      <w:r>
        <w:rPr>
          <w:rFonts w:ascii="Calibri" w:eastAsia="方正小标宋简体" w:hAnsi="Calibri" w:cs="Times New Roman" w:hint="eastAsia"/>
          <w:bCs/>
          <w:sz w:val="44"/>
          <w:szCs w:val="24"/>
        </w:rPr>
        <w:t>长春市“十四五”时期“无废城市”建设</w:t>
      </w:r>
    </w:p>
    <w:p w:rsidR="005A1ADB" w:rsidRDefault="000B6ECF">
      <w:pPr>
        <w:spacing w:before="240" w:after="60" w:line="720" w:lineRule="exact"/>
        <w:jc w:val="center"/>
        <w:rPr>
          <w:rFonts w:ascii="Calibri" w:eastAsia="方正小标宋简体" w:hAnsi="Calibri" w:cs="Times New Roman"/>
          <w:bCs/>
          <w:sz w:val="44"/>
          <w:szCs w:val="24"/>
        </w:rPr>
      </w:pPr>
      <w:r>
        <w:rPr>
          <w:rFonts w:ascii="Calibri" w:eastAsia="方正小标宋简体" w:hAnsi="Calibri" w:cs="Times New Roman" w:hint="eastAsia"/>
          <w:bCs/>
          <w:sz w:val="44"/>
          <w:szCs w:val="24"/>
        </w:rPr>
        <w:t>实施方案</w:t>
      </w:r>
    </w:p>
    <w:p w:rsidR="005A1ADB" w:rsidRDefault="005A1ADB">
      <w:pPr>
        <w:spacing w:before="240" w:after="60" w:line="720" w:lineRule="exact"/>
        <w:jc w:val="center"/>
        <w:rPr>
          <w:rFonts w:ascii="Calibri" w:eastAsia="方正小标宋简体" w:hAnsi="Calibri" w:cs="Times New Roman"/>
          <w:bCs/>
          <w:sz w:val="44"/>
          <w:szCs w:val="24"/>
        </w:rPr>
      </w:pPr>
    </w:p>
    <w:p w:rsidR="005A1ADB" w:rsidRDefault="000B6ECF">
      <w:pPr>
        <w:spacing w:before="240" w:after="60" w:line="720" w:lineRule="exact"/>
        <w:jc w:val="center"/>
        <w:rPr>
          <w:rFonts w:ascii="Calibri" w:eastAsia="方正小标宋简体" w:hAnsi="Calibri" w:cs="Times New Roman"/>
          <w:bCs/>
          <w:sz w:val="44"/>
          <w:szCs w:val="24"/>
        </w:rPr>
      </w:pPr>
      <w:r>
        <w:rPr>
          <w:rFonts w:ascii="Calibri" w:eastAsia="方正小标宋简体" w:hAnsi="Calibri" w:cs="Times New Roman" w:hint="eastAsia"/>
          <w:bCs/>
          <w:sz w:val="44"/>
          <w:szCs w:val="24"/>
        </w:rPr>
        <w:t>（征求意见稿）</w:t>
      </w: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5A1ADB">
      <w:pPr>
        <w:spacing w:line="480" w:lineRule="auto"/>
        <w:jc w:val="center"/>
        <w:rPr>
          <w:b/>
          <w:sz w:val="48"/>
        </w:rPr>
      </w:pPr>
    </w:p>
    <w:p w:rsidR="005A1ADB" w:rsidRDefault="000B6ECF">
      <w:pPr>
        <w:spacing w:line="600" w:lineRule="exact"/>
        <w:jc w:val="center"/>
        <w:rPr>
          <w:rFonts w:ascii="微软雅黑" w:eastAsia="微软雅黑" w:hAnsi="微软雅黑" w:cs="楷体_GB2312"/>
          <w:sz w:val="28"/>
          <w:szCs w:val="28"/>
        </w:rPr>
      </w:pPr>
      <w:r>
        <w:rPr>
          <w:rFonts w:ascii="微软雅黑" w:eastAsia="微软雅黑" w:hAnsi="微软雅黑" w:cs="楷体_GB2312" w:hint="eastAsia"/>
          <w:sz w:val="28"/>
          <w:szCs w:val="28"/>
        </w:rPr>
        <w:t>长春市生态环境局</w:t>
      </w:r>
    </w:p>
    <w:p w:rsidR="005A1ADB" w:rsidRDefault="000B6ECF">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2022</w:t>
      </w:r>
      <w:r>
        <w:rPr>
          <w:rFonts w:ascii="楷体_GB2312" w:eastAsia="楷体_GB2312" w:hAnsi="楷体_GB2312" w:cs="楷体_GB2312" w:hint="eastAsia"/>
          <w:sz w:val="32"/>
          <w:szCs w:val="32"/>
        </w:rPr>
        <w:t>年</w:t>
      </w:r>
      <w:bookmarkStart w:id="0" w:name="_GoBack"/>
      <w:bookmarkEnd w:id="0"/>
      <w:r w:rsidR="00033A19">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p>
    <w:p w:rsidR="005A1ADB" w:rsidRDefault="005A1ADB">
      <w:pPr>
        <w:spacing w:line="480" w:lineRule="auto"/>
        <w:jc w:val="center"/>
        <w:rPr>
          <w:b/>
          <w:sz w:val="36"/>
        </w:rPr>
      </w:pPr>
    </w:p>
    <w:p w:rsidR="005A1ADB" w:rsidRDefault="005A1ADB">
      <w:pPr>
        <w:spacing w:line="480" w:lineRule="auto"/>
        <w:jc w:val="center"/>
        <w:rPr>
          <w:b/>
          <w:sz w:val="36"/>
        </w:rPr>
      </w:pPr>
    </w:p>
    <w:p w:rsidR="005A1ADB" w:rsidRDefault="005A1ADB">
      <w:pPr>
        <w:spacing w:line="360" w:lineRule="auto"/>
        <w:jc w:val="left"/>
        <w:rPr>
          <w:b/>
          <w:sz w:val="36"/>
        </w:rPr>
        <w:sectPr w:rsidR="005A1ADB">
          <w:pgSz w:w="11906" w:h="16838"/>
          <w:pgMar w:top="1440" w:right="1800" w:bottom="1440" w:left="1800" w:header="851" w:footer="992" w:gutter="0"/>
          <w:pgNumType w:fmt="lowerRoman"/>
          <w:cols w:space="425"/>
          <w:docGrid w:type="lines" w:linePitch="312"/>
        </w:sectPr>
      </w:pPr>
    </w:p>
    <w:p w:rsidR="005A1ADB" w:rsidRDefault="005A1ADB">
      <w:pPr>
        <w:tabs>
          <w:tab w:val="left" w:pos="0"/>
        </w:tabs>
        <w:spacing w:line="360" w:lineRule="auto"/>
        <w:jc w:val="center"/>
      </w:pPr>
    </w:p>
    <w:sdt>
      <w:sdtPr>
        <w:rPr>
          <w:rFonts w:ascii="宋体" w:eastAsia="宋体" w:hAnsi="宋体"/>
          <w:sz w:val="32"/>
          <w:szCs w:val="36"/>
        </w:rPr>
        <w:id w:val="147452055"/>
        <w:docPartObj>
          <w:docPartGallery w:val="Table of Contents"/>
          <w:docPartUnique/>
        </w:docPartObj>
      </w:sdtPr>
      <w:sdtContent>
        <w:p w:rsidR="005A1ADB" w:rsidRDefault="000B6ECF">
          <w:pPr>
            <w:jc w:val="center"/>
            <w:rPr>
              <w:rFonts w:ascii="微软雅黑" w:eastAsia="微软雅黑" w:hAnsi="微软雅黑" w:cs="微软雅黑"/>
              <w:sz w:val="40"/>
              <w:szCs w:val="40"/>
            </w:rPr>
          </w:pPr>
          <w:r>
            <w:rPr>
              <w:rFonts w:ascii="微软雅黑" w:eastAsia="微软雅黑" w:hAnsi="微软雅黑" w:cs="微软雅黑"/>
              <w:sz w:val="40"/>
              <w:szCs w:val="40"/>
            </w:rPr>
            <w:t>目</w:t>
          </w:r>
          <w:r>
            <w:rPr>
              <w:rFonts w:ascii="微软雅黑" w:eastAsia="微软雅黑" w:hAnsi="微软雅黑" w:cs="微软雅黑" w:hint="eastAsia"/>
              <w:sz w:val="40"/>
              <w:szCs w:val="40"/>
            </w:rPr>
            <w:t xml:space="preserve"> </w:t>
          </w:r>
          <w:r>
            <w:rPr>
              <w:rFonts w:ascii="微软雅黑" w:eastAsia="微软雅黑" w:hAnsi="微软雅黑" w:cs="微软雅黑"/>
              <w:sz w:val="40"/>
              <w:szCs w:val="40"/>
            </w:rPr>
            <w:t>录</w:t>
          </w:r>
        </w:p>
        <w:p w:rsidR="005A1ADB" w:rsidRDefault="005A1ADB">
          <w:pPr>
            <w:pStyle w:val="21"/>
            <w:tabs>
              <w:tab w:val="right" w:leader="dot" w:pos="8296"/>
            </w:tabs>
            <w:rPr>
              <w:rFonts w:ascii="微软雅黑" w:eastAsia="微软雅黑" w:hAnsi="微软雅黑" w:cstheme="minorBidi"/>
              <w:kern w:val="2"/>
              <w:sz w:val="24"/>
              <w:szCs w:val="24"/>
            </w:rPr>
          </w:pPr>
          <w:r w:rsidRPr="005A1ADB">
            <w:rPr>
              <w:rFonts w:ascii="微软雅黑" w:eastAsia="微软雅黑" w:hAnsi="微软雅黑" w:cs="微软雅黑"/>
              <w:sz w:val="24"/>
              <w:szCs w:val="24"/>
            </w:rPr>
            <w:fldChar w:fldCharType="begin"/>
          </w:r>
          <w:r w:rsidR="000B6ECF">
            <w:rPr>
              <w:rFonts w:ascii="微软雅黑" w:eastAsia="微软雅黑" w:hAnsi="微软雅黑" w:cs="微软雅黑"/>
              <w:sz w:val="24"/>
              <w:szCs w:val="24"/>
            </w:rPr>
            <w:instrText xml:space="preserve">TOC \o "1-3" \h \u </w:instrText>
          </w:r>
          <w:r w:rsidRPr="005A1ADB">
            <w:rPr>
              <w:rFonts w:ascii="微软雅黑" w:eastAsia="微软雅黑" w:hAnsi="微软雅黑" w:cs="微软雅黑"/>
              <w:sz w:val="24"/>
              <w:szCs w:val="24"/>
            </w:rPr>
            <w:fldChar w:fldCharType="separate"/>
          </w:r>
          <w:hyperlink w:anchor="_Toc115079261" w:history="1">
            <w:r w:rsidR="000B6ECF">
              <w:rPr>
                <w:rStyle w:val="af0"/>
                <w:rFonts w:ascii="微软雅黑" w:eastAsia="微软雅黑" w:hAnsi="微软雅黑"/>
                <w:sz w:val="24"/>
                <w:szCs w:val="24"/>
              </w:rPr>
              <w:t>一、总则</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_Toc115079261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1</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62" w:history="1">
            <w:r w:rsidR="000B6ECF">
              <w:rPr>
                <w:rStyle w:val="af0"/>
                <w:rFonts w:ascii="微软雅黑" w:eastAsia="微软雅黑" w:hAnsi="微软雅黑"/>
                <w:sz w:val="24"/>
                <w:szCs w:val="24"/>
              </w:rPr>
              <w:t xml:space="preserve">1.1 </w:t>
            </w:r>
            <w:r w:rsidR="000B6ECF">
              <w:rPr>
                <w:rStyle w:val="af0"/>
                <w:rFonts w:ascii="微软雅黑" w:eastAsia="微软雅黑" w:hAnsi="微软雅黑"/>
                <w:sz w:val="24"/>
                <w:szCs w:val="24"/>
              </w:rPr>
              <w:t>编制依据</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_Toc115079262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1</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63" w:history="1">
            <w:r w:rsidR="000B6ECF">
              <w:rPr>
                <w:rStyle w:val="af0"/>
                <w:rFonts w:ascii="微软雅黑" w:eastAsia="微软雅黑" w:hAnsi="微软雅黑"/>
                <w:sz w:val="24"/>
                <w:szCs w:val="24"/>
              </w:rPr>
              <w:t xml:space="preserve">1.2 </w:t>
            </w:r>
            <w:r w:rsidR="000B6ECF">
              <w:rPr>
                <w:rStyle w:val="af0"/>
                <w:rFonts w:ascii="微软雅黑" w:eastAsia="微软雅黑" w:hAnsi="微软雅黑"/>
                <w:sz w:val="24"/>
                <w:szCs w:val="24"/>
              </w:rPr>
              <w:t>实施范围及时限</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w:instrText>
            </w:r>
            <w:r w:rsidR="000B6ECF">
              <w:rPr>
                <w:rFonts w:ascii="微软雅黑" w:eastAsia="微软雅黑" w:hAnsi="微软雅黑"/>
                <w:sz w:val="24"/>
                <w:szCs w:val="24"/>
              </w:rPr>
              <w:instrText xml:space="preserve"> _Toc115079263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4</w:t>
            </w:r>
            <w:r>
              <w:rPr>
                <w:rFonts w:ascii="微软雅黑" w:eastAsia="微软雅黑" w:hAnsi="微软雅黑"/>
                <w:sz w:val="24"/>
                <w:szCs w:val="24"/>
              </w:rPr>
              <w:fldChar w:fldCharType="end"/>
            </w:r>
          </w:hyperlink>
        </w:p>
        <w:p w:rsidR="005A1ADB" w:rsidRDefault="005A1ADB">
          <w:pPr>
            <w:pStyle w:val="21"/>
            <w:tabs>
              <w:tab w:val="right" w:leader="dot" w:pos="8296"/>
            </w:tabs>
            <w:rPr>
              <w:rFonts w:ascii="微软雅黑" w:eastAsia="微软雅黑" w:hAnsi="微软雅黑" w:cstheme="minorBidi"/>
              <w:kern w:val="2"/>
              <w:sz w:val="24"/>
              <w:szCs w:val="24"/>
            </w:rPr>
          </w:pPr>
          <w:hyperlink w:anchor="_Toc115079264" w:history="1">
            <w:r w:rsidR="000B6ECF">
              <w:rPr>
                <w:rStyle w:val="af0"/>
                <w:rFonts w:ascii="微软雅黑" w:eastAsia="微软雅黑" w:hAnsi="微软雅黑"/>
                <w:sz w:val="24"/>
                <w:szCs w:val="24"/>
              </w:rPr>
              <w:t>二、城乡发展与固体废物管理概况</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_Toc115079264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5</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65" w:history="1">
            <w:r w:rsidR="000B6ECF">
              <w:rPr>
                <w:rStyle w:val="af0"/>
                <w:rFonts w:ascii="微软雅黑" w:eastAsia="微软雅黑" w:hAnsi="微软雅黑"/>
                <w:sz w:val="24"/>
                <w:szCs w:val="24"/>
              </w:rPr>
              <w:t xml:space="preserve">2.1 </w:t>
            </w:r>
            <w:r w:rsidR="000B6ECF">
              <w:rPr>
                <w:rStyle w:val="af0"/>
                <w:rFonts w:ascii="微软雅黑" w:eastAsia="微软雅黑" w:hAnsi="微软雅黑"/>
                <w:sz w:val="24"/>
                <w:szCs w:val="24"/>
              </w:rPr>
              <w:t>城市发展基本情况</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_Toc115079265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5</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66" w:history="1">
            <w:r w:rsidR="000B6ECF">
              <w:rPr>
                <w:rStyle w:val="af0"/>
                <w:rFonts w:ascii="微软雅黑" w:eastAsia="微软雅黑" w:hAnsi="微软雅黑"/>
                <w:sz w:val="24"/>
                <w:szCs w:val="24"/>
              </w:rPr>
              <w:t xml:space="preserve">2.2 </w:t>
            </w:r>
            <w:r w:rsidR="000B6ECF">
              <w:rPr>
                <w:rStyle w:val="af0"/>
                <w:rFonts w:ascii="微软雅黑" w:eastAsia="微软雅黑" w:hAnsi="微软雅黑"/>
                <w:sz w:val="24"/>
                <w:szCs w:val="24"/>
              </w:rPr>
              <w:t>固体废物管理现状</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_Toc115079266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11</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67" w:history="1">
            <w:r w:rsidR="000B6ECF">
              <w:rPr>
                <w:rStyle w:val="af0"/>
                <w:rFonts w:ascii="微软雅黑" w:eastAsia="微软雅黑" w:hAnsi="微软雅黑"/>
                <w:sz w:val="24"/>
                <w:szCs w:val="24"/>
              </w:rPr>
              <w:t xml:space="preserve">2.3 </w:t>
            </w:r>
            <w:r w:rsidR="000B6ECF">
              <w:rPr>
                <w:rStyle w:val="af0"/>
                <w:rFonts w:ascii="微软雅黑" w:eastAsia="微软雅黑" w:hAnsi="微软雅黑"/>
                <w:sz w:val="24"/>
                <w:szCs w:val="24"/>
              </w:rPr>
              <w:t>存在的主要问题</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_Toc115079267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33</w:t>
            </w:r>
            <w:r>
              <w:rPr>
                <w:rFonts w:ascii="微软雅黑" w:eastAsia="微软雅黑" w:hAnsi="微软雅黑"/>
                <w:sz w:val="24"/>
                <w:szCs w:val="24"/>
              </w:rPr>
              <w:fldChar w:fldCharType="end"/>
            </w:r>
          </w:hyperlink>
        </w:p>
        <w:p w:rsidR="005A1ADB" w:rsidRDefault="005A1ADB">
          <w:pPr>
            <w:pStyle w:val="21"/>
            <w:tabs>
              <w:tab w:val="right" w:leader="dot" w:pos="8296"/>
            </w:tabs>
            <w:rPr>
              <w:rFonts w:ascii="微软雅黑" w:eastAsia="微软雅黑" w:hAnsi="微软雅黑" w:cstheme="minorBidi"/>
              <w:kern w:val="2"/>
              <w:sz w:val="24"/>
              <w:szCs w:val="24"/>
            </w:rPr>
          </w:pPr>
          <w:hyperlink w:anchor="_Toc115079268" w:history="1">
            <w:r w:rsidR="000B6ECF">
              <w:rPr>
                <w:rStyle w:val="af0"/>
                <w:rFonts w:ascii="微软雅黑" w:eastAsia="微软雅黑" w:hAnsi="微软雅黑"/>
                <w:sz w:val="24"/>
                <w:szCs w:val="24"/>
              </w:rPr>
              <w:t>三、总体思路、原则和目标</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w:instrText>
            </w:r>
            <w:r w:rsidR="000B6ECF">
              <w:rPr>
                <w:rFonts w:ascii="微软雅黑" w:eastAsia="微软雅黑" w:hAnsi="微软雅黑"/>
                <w:sz w:val="24"/>
                <w:szCs w:val="24"/>
              </w:rPr>
              <w:instrText xml:space="preserve">GEREF _Toc115079268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38</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69" w:history="1">
            <w:r w:rsidR="000B6ECF">
              <w:rPr>
                <w:rStyle w:val="af0"/>
                <w:rFonts w:ascii="微软雅黑" w:eastAsia="微软雅黑" w:hAnsi="微软雅黑"/>
                <w:sz w:val="24"/>
                <w:szCs w:val="24"/>
              </w:rPr>
              <w:t xml:space="preserve">3.1 </w:t>
            </w:r>
            <w:r w:rsidR="000B6ECF">
              <w:rPr>
                <w:rStyle w:val="af0"/>
                <w:rFonts w:ascii="微软雅黑" w:eastAsia="微软雅黑" w:hAnsi="微软雅黑"/>
                <w:sz w:val="24"/>
                <w:szCs w:val="24"/>
              </w:rPr>
              <w:t>总体思路</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_Toc115079269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38</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70" w:history="1">
            <w:r w:rsidR="000B6ECF">
              <w:rPr>
                <w:rStyle w:val="af0"/>
                <w:rFonts w:ascii="微软雅黑" w:eastAsia="微软雅黑" w:hAnsi="微软雅黑"/>
                <w:sz w:val="24"/>
                <w:szCs w:val="24"/>
              </w:rPr>
              <w:t xml:space="preserve">3.2 </w:t>
            </w:r>
            <w:r w:rsidR="000B6ECF">
              <w:rPr>
                <w:rStyle w:val="af0"/>
                <w:rFonts w:ascii="微软雅黑" w:eastAsia="微软雅黑" w:hAnsi="微软雅黑"/>
                <w:sz w:val="24"/>
                <w:szCs w:val="24"/>
              </w:rPr>
              <w:t>建设原则</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_Toc115079270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38</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71" w:history="1">
            <w:r w:rsidR="000B6ECF">
              <w:rPr>
                <w:rStyle w:val="af0"/>
                <w:rFonts w:ascii="微软雅黑" w:eastAsia="微软雅黑" w:hAnsi="微软雅黑"/>
                <w:sz w:val="24"/>
                <w:szCs w:val="24"/>
              </w:rPr>
              <w:t xml:space="preserve">3.3 </w:t>
            </w:r>
            <w:r w:rsidR="000B6ECF">
              <w:rPr>
                <w:rStyle w:val="af0"/>
                <w:rFonts w:ascii="微软雅黑" w:eastAsia="微软雅黑" w:hAnsi="微软雅黑"/>
                <w:sz w:val="24"/>
                <w:szCs w:val="24"/>
              </w:rPr>
              <w:t>建设目标</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_Toc115079271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39</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72" w:history="1">
            <w:r w:rsidR="000B6ECF">
              <w:rPr>
                <w:rStyle w:val="af0"/>
                <w:rFonts w:ascii="微软雅黑" w:eastAsia="微软雅黑" w:hAnsi="微软雅黑"/>
                <w:sz w:val="24"/>
                <w:szCs w:val="24"/>
              </w:rPr>
              <w:t xml:space="preserve">3.4 </w:t>
            </w:r>
            <w:r w:rsidR="000B6ECF">
              <w:rPr>
                <w:rStyle w:val="af0"/>
                <w:rFonts w:ascii="微软雅黑" w:eastAsia="微软雅黑" w:hAnsi="微软雅黑"/>
                <w:sz w:val="24"/>
                <w:szCs w:val="24"/>
              </w:rPr>
              <w:t>指标体系</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_Toc115079272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40</w:t>
            </w:r>
            <w:r>
              <w:rPr>
                <w:rFonts w:ascii="微软雅黑" w:eastAsia="微软雅黑" w:hAnsi="微软雅黑"/>
                <w:sz w:val="24"/>
                <w:szCs w:val="24"/>
              </w:rPr>
              <w:fldChar w:fldCharType="end"/>
            </w:r>
          </w:hyperlink>
        </w:p>
        <w:p w:rsidR="005A1ADB" w:rsidRDefault="005A1ADB">
          <w:pPr>
            <w:pStyle w:val="21"/>
            <w:tabs>
              <w:tab w:val="right" w:leader="dot" w:pos="8296"/>
            </w:tabs>
            <w:rPr>
              <w:rFonts w:ascii="微软雅黑" w:eastAsia="微软雅黑" w:hAnsi="微软雅黑" w:cstheme="minorBidi"/>
              <w:kern w:val="2"/>
              <w:sz w:val="24"/>
              <w:szCs w:val="24"/>
            </w:rPr>
          </w:pPr>
          <w:hyperlink w:anchor="_Toc115079273" w:history="1">
            <w:r w:rsidR="000B6ECF">
              <w:rPr>
                <w:rStyle w:val="af0"/>
                <w:rFonts w:ascii="微软雅黑" w:eastAsia="微软雅黑" w:hAnsi="微软雅黑"/>
                <w:sz w:val="24"/>
                <w:szCs w:val="24"/>
              </w:rPr>
              <w:t>四、主要任务</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w:instrText>
            </w:r>
            <w:r w:rsidR="000B6ECF">
              <w:rPr>
                <w:rFonts w:ascii="微软雅黑" w:eastAsia="微软雅黑" w:hAnsi="微软雅黑"/>
                <w:sz w:val="24"/>
                <w:szCs w:val="24"/>
              </w:rPr>
              <w:instrText xml:space="preserve">115079273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47</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74" w:history="1">
            <w:r w:rsidR="000B6ECF">
              <w:rPr>
                <w:rStyle w:val="af0"/>
                <w:rFonts w:ascii="微软雅黑" w:eastAsia="微软雅黑" w:hAnsi="微软雅黑"/>
                <w:sz w:val="24"/>
                <w:szCs w:val="24"/>
              </w:rPr>
              <w:t xml:space="preserve">4.1 </w:t>
            </w:r>
            <w:r w:rsidR="000B6ECF">
              <w:rPr>
                <w:rStyle w:val="af0"/>
                <w:rFonts w:ascii="微软雅黑" w:eastAsia="微软雅黑" w:hAnsi="微软雅黑"/>
                <w:sz w:val="24"/>
                <w:szCs w:val="24"/>
              </w:rPr>
              <w:t>加快工业绿色低碳发展，降低工业固体废物处置压力</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_Toc115079274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47</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75" w:history="1">
            <w:r w:rsidR="000B6ECF">
              <w:rPr>
                <w:rStyle w:val="af0"/>
                <w:rFonts w:ascii="微软雅黑" w:eastAsia="微软雅黑" w:hAnsi="微软雅黑"/>
                <w:sz w:val="24"/>
                <w:szCs w:val="24"/>
              </w:rPr>
              <w:t xml:space="preserve">4.2 </w:t>
            </w:r>
            <w:r w:rsidR="000B6ECF">
              <w:rPr>
                <w:rStyle w:val="af0"/>
                <w:rFonts w:ascii="微软雅黑" w:eastAsia="微软雅黑" w:hAnsi="微软雅黑"/>
                <w:sz w:val="24"/>
                <w:szCs w:val="24"/>
              </w:rPr>
              <w:t>促进农业农村绿色低碳发展，提升主要农业固体废物综合利用水平</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_Toc115079275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50</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76" w:history="1">
            <w:r w:rsidR="000B6ECF">
              <w:rPr>
                <w:rStyle w:val="af0"/>
                <w:rFonts w:ascii="微软雅黑" w:eastAsia="微软雅黑" w:hAnsi="微软雅黑"/>
                <w:sz w:val="24"/>
                <w:szCs w:val="24"/>
              </w:rPr>
              <w:t xml:space="preserve">4.3 </w:t>
            </w:r>
            <w:r w:rsidR="000B6ECF">
              <w:rPr>
                <w:rStyle w:val="af0"/>
                <w:rFonts w:ascii="微软雅黑" w:eastAsia="微软雅黑" w:hAnsi="微软雅黑"/>
                <w:sz w:val="24"/>
                <w:szCs w:val="24"/>
              </w:rPr>
              <w:t>推动形成绿色低碳生活方式，促进生活源固体废物减量化、资源化</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_Toc115079276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53</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77" w:history="1">
            <w:r w:rsidR="000B6ECF">
              <w:rPr>
                <w:rStyle w:val="af0"/>
                <w:rFonts w:ascii="微软雅黑" w:eastAsia="微软雅黑" w:hAnsi="微软雅黑"/>
                <w:sz w:val="24"/>
                <w:szCs w:val="24"/>
              </w:rPr>
              <w:t xml:space="preserve">4.4 </w:t>
            </w:r>
            <w:r w:rsidR="000B6ECF">
              <w:rPr>
                <w:rStyle w:val="af0"/>
                <w:rFonts w:ascii="微软雅黑" w:eastAsia="微软雅黑" w:hAnsi="微软雅黑"/>
                <w:sz w:val="24"/>
                <w:szCs w:val="24"/>
              </w:rPr>
              <w:t>加强全过程管理，推进建筑垃圾综合利用</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_Toc115079277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56</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78" w:history="1">
            <w:r w:rsidR="000B6ECF">
              <w:rPr>
                <w:rStyle w:val="af0"/>
                <w:rFonts w:ascii="微软雅黑" w:eastAsia="微软雅黑" w:hAnsi="微软雅黑"/>
                <w:sz w:val="24"/>
                <w:szCs w:val="24"/>
              </w:rPr>
              <w:t xml:space="preserve">4.5 </w:t>
            </w:r>
            <w:r w:rsidR="000B6ECF">
              <w:rPr>
                <w:rStyle w:val="af0"/>
                <w:rFonts w:ascii="微软雅黑" w:eastAsia="微软雅黑" w:hAnsi="微软雅黑"/>
                <w:sz w:val="24"/>
                <w:szCs w:val="24"/>
              </w:rPr>
              <w:t>强化</w:t>
            </w:r>
            <w:r w:rsidR="000B6ECF">
              <w:rPr>
                <w:rStyle w:val="af0"/>
                <w:rFonts w:ascii="微软雅黑" w:eastAsia="微软雅黑" w:hAnsi="微软雅黑"/>
                <w:sz w:val="24"/>
                <w:szCs w:val="24"/>
              </w:rPr>
              <w:t>监管和利用处置能力，有效防控危险废物环境风险</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_Toc115079278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58</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79" w:history="1">
            <w:r w:rsidR="000B6ECF">
              <w:rPr>
                <w:rStyle w:val="af0"/>
                <w:rFonts w:ascii="微软雅黑" w:eastAsia="微软雅黑" w:hAnsi="微软雅黑"/>
                <w:sz w:val="24"/>
                <w:szCs w:val="24"/>
              </w:rPr>
              <w:t xml:space="preserve">4.6 </w:t>
            </w:r>
            <w:r w:rsidR="000B6ECF">
              <w:rPr>
                <w:rStyle w:val="af0"/>
                <w:rFonts w:ascii="微软雅黑" w:eastAsia="微软雅黑" w:hAnsi="微软雅黑"/>
                <w:sz w:val="24"/>
                <w:szCs w:val="24"/>
              </w:rPr>
              <w:t>加强制度、技术、市场和监管体系建设，提升系统保障能力</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_Toc115079279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63</w:t>
            </w:r>
            <w:r>
              <w:rPr>
                <w:rFonts w:ascii="微软雅黑" w:eastAsia="微软雅黑" w:hAnsi="微软雅黑"/>
                <w:sz w:val="24"/>
                <w:szCs w:val="24"/>
              </w:rPr>
              <w:fldChar w:fldCharType="end"/>
            </w:r>
          </w:hyperlink>
        </w:p>
        <w:p w:rsidR="005A1ADB" w:rsidRDefault="005A1ADB">
          <w:pPr>
            <w:pStyle w:val="21"/>
            <w:tabs>
              <w:tab w:val="right" w:leader="dot" w:pos="8296"/>
            </w:tabs>
            <w:rPr>
              <w:rFonts w:ascii="微软雅黑" w:eastAsia="微软雅黑" w:hAnsi="微软雅黑" w:cstheme="minorBidi"/>
              <w:kern w:val="2"/>
              <w:sz w:val="24"/>
              <w:szCs w:val="24"/>
            </w:rPr>
          </w:pPr>
          <w:hyperlink w:anchor="_Toc115079280" w:history="1">
            <w:r w:rsidR="000B6ECF">
              <w:rPr>
                <w:rStyle w:val="af0"/>
                <w:rFonts w:ascii="微软雅黑" w:eastAsia="微软雅黑" w:hAnsi="微软雅黑"/>
                <w:sz w:val="24"/>
                <w:szCs w:val="24"/>
              </w:rPr>
              <w:t>五、保障措施</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_Toc115079280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66</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81" w:history="1">
            <w:r w:rsidR="000B6ECF">
              <w:rPr>
                <w:rStyle w:val="af0"/>
                <w:rFonts w:ascii="微软雅黑" w:eastAsia="微软雅黑" w:hAnsi="微软雅黑"/>
                <w:sz w:val="24"/>
                <w:szCs w:val="24"/>
              </w:rPr>
              <w:t xml:space="preserve">5.1 </w:t>
            </w:r>
            <w:r w:rsidR="000B6ECF">
              <w:rPr>
                <w:rStyle w:val="af0"/>
                <w:rFonts w:ascii="微软雅黑" w:eastAsia="微软雅黑" w:hAnsi="微软雅黑"/>
                <w:sz w:val="24"/>
                <w:szCs w:val="24"/>
              </w:rPr>
              <w:t>加强组织领导</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_Toc115079281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66</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82" w:history="1">
            <w:r w:rsidR="000B6ECF">
              <w:rPr>
                <w:rStyle w:val="af0"/>
                <w:rFonts w:ascii="微软雅黑" w:eastAsia="微软雅黑" w:hAnsi="微软雅黑"/>
                <w:sz w:val="24"/>
                <w:szCs w:val="24"/>
              </w:rPr>
              <w:t xml:space="preserve">5.2 </w:t>
            </w:r>
            <w:r w:rsidR="000B6ECF">
              <w:rPr>
                <w:rStyle w:val="af0"/>
                <w:rFonts w:ascii="微软雅黑" w:eastAsia="微软雅黑" w:hAnsi="微软雅黑"/>
                <w:sz w:val="24"/>
                <w:szCs w:val="24"/>
              </w:rPr>
              <w:t>加强技术指导</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_Toc115079282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66</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83" w:history="1">
            <w:r w:rsidR="000B6ECF">
              <w:rPr>
                <w:rStyle w:val="af0"/>
                <w:rFonts w:ascii="微软雅黑" w:eastAsia="微软雅黑" w:hAnsi="微软雅黑"/>
                <w:sz w:val="24"/>
                <w:szCs w:val="24"/>
              </w:rPr>
              <w:t xml:space="preserve">5.3 </w:t>
            </w:r>
            <w:r w:rsidR="000B6ECF">
              <w:rPr>
                <w:rStyle w:val="af0"/>
                <w:rFonts w:ascii="微软雅黑" w:eastAsia="微软雅黑" w:hAnsi="微软雅黑"/>
                <w:sz w:val="24"/>
                <w:szCs w:val="24"/>
              </w:rPr>
              <w:t>加大资金支持</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w:instrText>
            </w:r>
            <w:r w:rsidR="000B6ECF">
              <w:rPr>
                <w:rFonts w:ascii="微软雅黑" w:eastAsia="微软雅黑" w:hAnsi="微软雅黑"/>
                <w:sz w:val="24"/>
                <w:szCs w:val="24"/>
              </w:rPr>
              <w:instrText xml:space="preserve">F _Toc115079283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66</w:t>
            </w:r>
            <w:r>
              <w:rPr>
                <w:rFonts w:ascii="微软雅黑" w:eastAsia="微软雅黑" w:hAnsi="微软雅黑"/>
                <w:sz w:val="24"/>
                <w:szCs w:val="24"/>
              </w:rPr>
              <w:fldChar w:fldCharType="end"/>
            </w:r>
          </w:hyperlink>
        </w:p>
        <w:p w:rsidR="005A1ADB" w:rsidRDefault="005A1ADB">
          <w:pPr>
            <w:pStyle w:val="30"/>
            <w:tabs>
              <w:tab w:val="right" w:leader="dot" w:pos="8296"/>
            </w:tabs>
            <w:rPr>
              <w:rFonts w:ascii="微软雅黑" w:eastAsia="微软雅黑" w:hAnsi="微软雅黑" w:cstheme="minorBidi"/>
              <w:kern w:val="2"/>
              <w:sz w:val="24"/>
              <w:szCs w:val="24"/>
            </w:rPr>
          </w:pPr>
          <w:hyperlink w:anchor="_Toc115079284" w:history="1">
            <w:r w:rsidR="000B6ECF">
              <w:rPr>
                <w:rStyle w:val="af0"/>
                <w:rFonts w:ascii="微软雅黑" w:eastAsia="微软雅黑" w:hAnsi="微软雅黑"/>
                <w:sz w:val="24"/>
                <w:szCs w:val="24"/>
              </w:rPr>
              <w:t xml:space="preserve">5.4 </w:t>
            </w:r>
            <w:r w:rsidR="000B6ECF">
              <w:rPr>
                <w:rStyle w:val="af0"/>
                <w:rFonts w:ascii="微软雅黑" w:eastAsia="微软雅黑" w:hAnsi="微软雅黑"/>
                <w:sz w:val="24"/>
                <w:szCs w:val="24"/>
              </w:rPr>
              <w:t>强化宣传引导</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_Toc115079284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67</w:t>
            </w:r>
            <w:r>
              <w:rPr>
                <w:rFonts w:ascii="微软雅黑" w:eastAsia="微软雅黑" w:hAnsi="微软雅黑"/>
                <w:sz w:val="24"/>
                <w:szCs w:val="24"/>
              </w:rPr>
              <w:fldChar w:fldCharType="end"/>
            </w:r>
          </w:hyperlink>
        </w:p>
        <w:p w:rsidR="005A1ADB" w:rsidRDefault="005A1ADB">
          <w:pPr>
            <w:pStyle w:val="10"/>
            <w:tabs>
              <w:tab w:val="right" w:leader="dot" w:pos="8296"/>
            </w:tabs>
            <w:rPr>
              <w:rFonts w:ascii="微软雅黑" w:eastAsia="微软雅黑" w:hAnsi="微软雅黑" w:cstheme="minorBidi"/>
              <w:kern w:val="2"/>
              <w:sz w:val="24"/>
              <w:szCs w:val="24"/>
            </w:rPr>
          </w:pPr>
          <w:hyperlink w:anchor="_Toc115079285" w:history="1">
            <w:r w:rsidR="000B6ECF">
              <w:rPr>
                <w:rStyle w:val="af0"/>
                <w:rFonts w:ascii="微软雅黑" w:eastAsia="微软雅黑" w:hAnsi="微软雅黑" w:cs="宋体"/>
                <w:sz w:val="24"/>
                <w:szCs w:val="24"/>
              </w:rPr>
              <w:t>附件</w:t>
            </w:r>
            <w:r w:rsidR="000B6ECF">
              <w:rPr>
                <w:rStyle w:val="af0"/>
                <w:rFonts w:ascii="微软雅黑" w:eastAsia="微软雅黑" w:hAnsi="微软雅黑" w:cs="宋体"/>
                <w:sz w:val="24"/>
                <w:szCs w:val="24"/>
              </w:rPr>
              <w:t>1 2020</w:t>
            </w:r>
            <w:r w:rsidR="000B6ECF">
              <w:rPr>
                <w:rStyle w:val="af0"/>
                <w:rFonts w:ascii="微软雅黑" w:eastAsia="微软雅黑" w:hAnsi="微软雅黑" w:cs="宋体"/>
                <w:sz w:val="24"/>
                <w:szCs w:val="24"/>
              </w:rPr>
              <w:t>年长春市废物清单</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_Toc115079285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68</w:t>
            </w:r>
            <w:r>
              <w:rPr>
                <w:rFonts w:ascii="微软雅黑" w:eastAsia="微软雅黑" w:hAnsi="微软雅黑"/>
                <w:sz w:val="24"/>
                <w:szCs w:val="24"/>
              </w:rPr>
              <w:fldChar w:fldCharType="end"/>
            </w:r>
          </w:hyperlink>
        </w:p>
        <w:p w:rsidR="005A1ADB" w:rsidRDefault="005A1ADB">
          <w:pPr>
            <w:pStyle w:val="10"/>
            <w:tabs>
              <w:tab w:val="right" w:leader="dot" w:pos="8296"/>
            </w:tabs>
            <w:rPr>
              <w:rFonts w:ascii="微软雅黑" w:eastAsia="微软雅黑" w:hAnsi="微软雅黑" w:cstheme="minorBidi"/>
              <w:kern w:val="2"/>
              <w:sz w:val="24"/>
              <w:szCs w:val="24"/>
            </w:rPr>
          </w:pPr>
          <w:hyperlink w:anchor="_Toc115079286" w:history="1">
            <w:r w:rsidR="000B6ECF">
              <w:rPr>
                <w:rStyle w:val="af0"/>
                <w:rFonts w:ascii="微软雅黑" w:eastAsia="微软雅黑" w:hAnsi="微软雅黑" w:cs="宋体"/>
                <w:sz w:val="24"/>
                <w:szCs w:val="24"/>
              </w:rPr>
              <w:t>附件</w:t>
            </w:r>
            <w:r w:rsidR="000B6ECF">
              <w:rPr>
                <w:rStyle w:val="af0"/>
                <w:rFonts w:ascii="微软雅黑" w:eastAsia="微软雅黑" w:hAnsi="微软雅黑" w:cs="宋体"/>
                <w:sz w:val="24"/>
                <w:szCs w:val="24"/>
              </w:rPr>
              <w:t>2“</w:t>
            </w:r>
            <w:r w:rsidR="000B6ECF">
              <w:rPr>
                <w:rStyle w:val="af0"/>
                <w:rFonts w:ascii="微软雅黑" w:eastAsia="微软雅黑" w:hAnsi="微软雅黑" w:cs="宋体"/>
                <w:sz w:val="24"/>
                <w:szCs w:val="24"/>
              </w:rPr>
              <w:t>无废城市</w:t>
            </w:r>
            <w:r w:rsidR="000B6ECF">
              <w:rPr>
                <w:rStyle w:val="af0"/>
                <w:rFonts w:ascii="微软雅黑" w:eastAsia="微软雅黑" w:hAnsi="微软雅黑" w:cs="宋体"/>
                <w:sz w:val="24"/>
                <w:szCs w:val="24"/>
              </w:rPr>
              <w:t>”</w:t>
            </w:r>
            <w:r w:rsidR="000B6ECF">
              <w:rPr>
                <w:rStyle w:val="af0"/>
                <w:rFonts w:ascii="微软雅黑" w:eastAsia="微软雅黑" w:hAnsi="微软雅黑" w:cs="宋体"/>
                <w:sz w:val="24"/>
                <w:szCs w:val="24"/>
              </w:rPr>
              <w:t>建设责任清单</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_Toc115079286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71</w:t>
            </w:r>
            <w:r>
              <w:rPr>
                <w:rFonts w:ascii="微软雅黑" w:eastAsia="微软雅黑" w:hAnsi="微软雅黑"/>
                <w:sz w:val="24"/>
                <w:szCs w:val="24"/>
              </w:rPr>
              <w:fldChar w:fldCharType="end"/>
            </w:r>
          </w:hyperlink>
        </w:p>
        <w:p w:rsidR="005A1ADB" w:rsidRDefault="005A1ADB">
          <w:pPr>
            <w:pStyle w:val="10"/>
            <w:tabs>
              <w:tab w:val="right" w:leader="dot" w:pos="8296"/>
            </w:tabs>
            <w:rPr>
              <w:rFonts w:ascii="微软雅黑" w:eastAsia="微软雅黑" w:hAnsi="微软雅黑" w:cstheme="minorBidi"/>
              <w:kern w:val="2"/>
              <w:sz w:val="24"/>
              <w:szCs w:val="24"/>
            </w:rPr>
          </w:pPr>
          <w:hyperlink w:anchor="_Toc115079287" w:history="1">
            <w:r w:rsidR="000B6ECF">
              <w:rPr>
                <w:rStyle w:val="af0"/>
                <w:rFonts w:ascii="微软雅黑" w:eastAsia="微软雅黑" w:hAnsi="微软雅黑" w:cs="宋体"/>
                <w:sz w:val="24"/>
                <w:szCs w:val="24"/>
              </w:rPr>
              <w:t>附件</w:t>
            </w:r>
            <w:r w:rsidR="000B6ECF">
              <w:rPr>
                <w:rStyle w:val="af0"/>
                <w:rFonts w:ascii="微软雅黑" w:eastAsia="微软雅黑" w:hAnsi="微软雅黑" w:cs="宋体"/>
                <w:sz w:val="24"/>
                <w:szCs w:val="24"/>
              </w:rPr>
              <w:t>3“</w:t>
            </w:r>
            <w:r w:rsidR="000B6ECF">
              <w:rPr>
                <w:rStyle w:val="af0"/>
                <w:rFonts w:ascii="微软雅黑" w:eastAsia="微软雅黑" w:hAnsi="微软雅黑" w:cs="宋体"/>
                <w:sz w:val="24"/>
                <w:szCs w:val="24"/>
              </w:rPr>
              <w:t>无废城市</w:t>
            </w:r>
            <w:r w:rsidR="000B6ECF">
              <w:rPr>
                <w:rStyle w:val="af0"/>
                <w:rFonts w:ascii="微软雅黑" w:eastAsia="微软雅黑" w:hAnsi="微软雅黑" w:cs="宋体"/>
                <w:sz w:val="24"/>
                <w:szCs w:val="24"/>
              </w:rPr>
              <w:t>”</w:t>
            </w:r>
            <w:r w:rsidR="000B6ECF">
              <w:rPr>
                <w:rStyle w:val="af0"/>
                <w:rFonts w:ascii="微软雅黑" w:eastAsia="微软雅黑" w:hAnsi="微软雅黑" w:cs="宋体"/>
                <w:sz w:val="24"/>
                <w:szCs w:val="24"/>
              </w:rPr>
              <w:t>建设任务清单</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_Toc115079287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76</w:t>
            </w:r>
            <w:r>
              <w:rPr>
                <w:rFonts w:ascii="微软雅黑" w:eastAsia="微软雅黑" w:hAnsi="微软雅黑"/>
                <w:sz w:val="24"/>
                <w:szCs w:val="24"/>
              </w:rPr>
              <w:fldChar w:fldCharType="end"/>
            </w:r>
          </w:hyperlink>
        </w:p>
        <w:p w:rsidR="005A1ADB" w:rsidRDefault="005A1ADB">
          <w:pPr>
            <w:pStyle w:val="10"/>
            <w:tabs>
              <w:tab w:val="right" w:leader="dot" w:pos="8296"/>
            </w:tabs>
            <w:rPr>
              <w:rFonts w:ascii="微软雅黑" w:eastAsia="微软雅黑" w:hAnsi="微软雅黑" w:cstheme="minorBidi"/>
              <w:kern w:val="2"/>
              <w:sz w:val="24"/>
              <w:szCs w:val="24"/>
            </w:rPr>
          </w:pPr>
          <w:hyperlink w:anchor="_Toc115079288" w:history="1">
            <w:r w:rsidR="000B6ECF">
              <w:rPr>
                <w:rStyle w:val="af0"/>
                <w:rFonts w:ascii="微软雅黑" w:eastAsia="微软雅黑" w:hAnsi="微软雅黑" w:cs="宋体"/>
                <w:sz w:val="24"/>
                <w:szCs w:val="24"/>
              </w:rPr>
              <w:t>附件</w:t>
            </w:r>
            <w:r w:rsidR="000B6ECF">
              <w:rPr>
                <w:rStyle w:val="af0"/>
                <w:rFonts w:ascii="微软雅黑" w:eastAsia="微软雅黑" w:hAnsi="微软雅黑" w:cs="宋体"/>
                <w:sz w:val="24"/>
                <w:szCs w:val="24"/>
              </w:rPr>
              <w:t>4“</w:t>
            </w:r>
            <w:r w:rsidR="000B6ECF">
              <w:rPr>
                <w:rStyle w:val="af0"/>
                <w:rFonts w:ascii="微软雅黑" w:eastAsia="微软雅黑" w:hAnsi="微软雅黑" w:cs="宋体"/>
                <w:sz w:val="24"/>
                <w:szCs w:val="24"/>
              </w:rPr>
              <w:t>无废城市</w:t>
            </w:r>
            <w:r w:rsidR="000B6ECF">
              <w:rPr>
                <w:rStyle w:val="af0"/>
                <w:rFonts w:ascii="微软雅黑" w:eastAsia="微软雅黑" w:hAnsi="微软雅黑" w:cs="宋体"/>
                <w:sz w:val="24"/>
                <w:szCs w:val="24"/>
              </w:rPr>
              <w:t>”</w:t>
            </w:r>
            <w:r w:rsidR="000B6ECF">
              <w:rPr>
                <w:rStyle w:val="af0"/>
                <w:rFonts w:ascii="微软雅黑" w:eastAsia="微软雅黑" w:hAnsi="微软雅黑" w:cs="宋体"/>
                <w:sz w:val="24"/>
                <w:szCs w:val="24"/>
              </w:rPr>
              <w:t>建设项目清单</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_Toc115079288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86</w:t>
            </w:r>
            <w:r>
              <w:rPr>
                <w:rFonts w:ascii="微软雅黑" w:eastAsia="微软雅黑" w:hAnsi="微软雅黑"/>
                <w:sz w:val="24"/>
                <w:szCs w:val="24"/>
              </w:rPr>
              <w:fldChar w:fldCharType="end"/>
            </w:r>
          </w:hyperlink>
        </w:p>
        <w:p w:rsidR="005A1ADB" w:rsidRDefault="005A1ADB">
          <w:pPr>
            <w:pStyle w:val="10"/>
            <w:tabs>
              <w:tab w:val="right" w:leader="dot" w:pos="8296"/>
            </w:tabs>
            <w:rPr>
              <w:rFonts w:cstheme="minorBidi"/>
              <w:kern w:val="2"/>
              <w:sz w:val="21"/>
            </w:rPr>
          </w:pPr>
          <w:hyperlink w:anchor="_Toc115079289" w:history="1">
            <w:r w:rsidR="000B6ECF">
              <w:rPr>
                <w:rStyle w:val="af0"/>
                <w:rFonts w:ascii="微软雅黑" w:eastAsia="微软雅黑" w:hAnsi="微软雅黑" w:cs="宋体"/>
                <w:sz w:val="24"/>
                <w:szCs w:val="24"/>
              </w:rPr>
              <w:t>附件</w:t>
            </w:r>
            <w:r w:rsidR="000B6ECF">
              <w:rPr>
                <w:rStyle w:val="af0"/>
                <w:rFonts w:ascii="微软雅黑" w:eastAsia="微软雅黑" w:hAnsi="微软雅黑" w:cs="宋体"/>
                <w:sz w:val="24"/>
                <w:szCs w:val="24"/>
              </w:rPr>
              <w:t xml:space="preserve">5 </w:t>
            </w:r>
            <w:r w:rsidR="000B6ECF">
              <w:rPr>
                <w:rStyle w:val="af0"/>
                <w:rFonts w:ascii="微软雅黑" w:eastAsia="微软雅黑" w:hAnsi="微软雅黑" w:cs="宋体"/>
                <w:sz w:val="24"/>
                <w:szCs w:val="24"/>
              </w:rPr>
              <w:t>长春市</w:t>
            </w:r>
            <w:r w:rsidR="000B6ECF">
              <w:rPr>
                <w:rStyle w:val="af0"/>
                <w:rFonts w:ascii="微软雅黑" w:eastAsia="微软雅黑" w:hAnsi="微软雅黑" w:cs="宋体"/>
                <w:sz w:val="24"/>
                <w:szCs w:val="24"/>
              </w:rPr>
              <w:t>“</w:t>
            </w:r>
            <w:r w:rsidR="000B6ECF">
              <w:rPr>
                <w:rStyle w:val="af0"/>
                <w:rFonts w:ascii="微软雅黑" w:eastAsia="微软雅黑" w:hAnsi="微软雅黑" w:cs="宋体"/>
                <w:sz w:val="24"/>
                <w:szCs w:val="24"/>
              </w:rPr>
              <w:t>无废城市</w:t>
            </w:r>
            <w:r w:rsidR="000B6ECF">
              <w:rPr>
                <w:rStyle w:val="af0"/>
                <w:rFonts w:ascii="微软雅黑" w:eastAsia="微软雅黑" w:hAnsi="微软雅黑" w:cs="宋体"/>
                <w:sz w:val="24"/>
                <w:szCs w:val="24"/>
              </w:rPr>
              <w:t>”</w:t>
            </w:r>
            <w:r w:rsidR="000B6ECF">
              <w:rPr>
                <w:rStyle w:val="af0"/>
                <w:rFonts w:ascii="微软雅黑" w:eastAsia="微软雅黑" w:hAnsi="微软雅黑" w:cs="宋体"/>
                <w:sz w:val="24"/>
                <w:szCs w:val="24"/>
              </w:rPr>
              <w:t>建设相关地方性法规、政策性文件、规划一览表</w:t>
            </w:r>
            <w:r w:rsidR="000B6ECF">
              <w:rPr>
                <w:rFonts w:ascii="微软雅黑" w:eastAsia="微软雅黑" w:hAnsi="微软雅黑"/>
                <w:sz w:val="24"/>
                <w:szCs w:val="24"/>
              </w:rPr>
              <w:tab/>
            </w:r>
            <w:r>
              <w:rPr>
                <w:rFonts w:ascii="微软雅黑" w:eastAsia="微软雅黑" w:hAnsi="微软雅黑"/>
                <w:sz w:val="24"/>
                <w:szCs w:val="24"/>
              </w:rPr>
              <w:fldChar w:fldCharType="begin"/>
            </w:r>
            <w:r w:rsidR="000B6ECF">
              <w:rPr>
                <w:rFonts w:ascii="微软雅黑" w:eastAsia="微软雅黑" w:hAnsi="微软雅黑"/>
                <w:sz w:val="24"/>
                <w:szCs w:val="24"/>
              </w:rPr>
              <w:instrText xml:space="preserve"> PAGEREF _Toc115079289 \h </w:instrText>
            </w:r>
            <w:r>
              <w:rPr>
                <w:rFonts w:ascii="微软雅黑" w:eastAsia="微软雅黑" w:hAnsi="微软雅黑"/>
                <w:sz w:val="24"/>
                <w:szCs w:val="24"/>
              </w:rPr>
            </w:r>
            <w:r>
              <w:rPr>
                <w:rFonts w:ascii="微软雅黑" w:eastAsia="微软雅黑" w:hAnsi="微软雅黑"/>
                <w:sz w:val="24"/>
                <w:szCs w:val="24"/>
              </w:rPr>
              <w:fldChar w:fldCharType="separate"/>
            </w:r>
            <w:r w:rsidR="000B6ECF">
              <w:rPr>
                <w:rFonts w:ascii="微软雅黑" w:eastAsia="微软雅黑" w:hAnsi="微软雅黑"/>
                <w:sz w:val="24"/>
                <w:szCs w:val="24"/>
              </w:rPr>
              <w:t>96</w:t>
            </w:r>
            <w:r>
              <w:rPr>
                <w:rFonts w:ascii="微软雅黑" w:eastAsia="微软雅黑" w:hAnsi="微软雅黑"/>
                <w:sz w:val="24"/>
                <w:szCs w:val="24"/>
              </w:rPr>
              <w:fldChar w:fldCharType="end"/>
            </w:r>
          </w:hyperlink>
        </w:p>
        <w:p w:rsidR="005A1ADB" w:rsidRDefault="005A1ADB">
          <w:r>
            <w:rPr>
              <w:rFonts w:ascii="微软雅黑" w:eastAsia="微软雅黑" w:hAnsi="微软雅黑" w:cs="微软雅黑"/>
              <w:sz w:val="24"/>
              <w:szCs w:val="24"/>
            </w:rPr>
            <w:fldChar w:fldCharType="end"/>
          </w:r>
        </w:p>
      </w:sdtContent>
    </w:sdt>
    <w:p w:rsidR="005A1ADB" w:rsidRDefault="005A1ADB">
      <w:pPr>
        <w:pStyle w:val="2"/>
        <w:rPr>
          <w:sz w:val="28"/>
        </w:rPr>
        <w:sectPr w:rsidR="005A1ADB">
          <w:footerReference w:type="default" r:id="rId9"/>
          <w:pgSz w:w="11906" w:h="16838"/>
          <w:pgMar w:top="1440" w:right="1800" w:bottom="1440" w:left="1800" w:header="851" w:footer="992" w:gutter="0"/>
          <w:pgNumType w:fmt="lowerRoman" w:start="1"/>
          <w:cols w:space="425"/>
          <w:docGrid w:type="lines" w:linePitch="312"/>
        </w:sectPr>
      </w:pPr>
      <w:bookmarkStart w:id="1" w:name="_Toc28379"/>
      <w:bookmarkStart w:id="2" w:name="_Toc104561683"/>
      <w:bookmarkStart w:id="3" w:name="_Toc29902"/>
    </w:p>
    <w:p w:rsidR="005A1ADB" w:rsidRDefault="000B6ECF">
      <w:pPr>
        <w:pStyle w:val="2"/>
        <w:rPr>
          <w:sz w:val="28"/>
        </w:rPr>
      </w:pPr>
      <w:bookmarkStart w:id="4" w:name="_Toc115079261"/>
      <w:bookmarkStart w:id="5" w:name="_Toc111199978"/>
      <w:r>
        <w:rPr>
          <w:rFonts w:hint="eastAsia"/>
          <w:sz w:val="28"/>
        </w:rPr>
        <w:lastRenderedPageBreak/>
        <w:t>一、总则</w:t>
      </w:r>
      <w:bookmarkEnd w:id="1"/>
      <w:bookmarkEnd w:id="2"/>
      <w:bookmarkEnd w:id="3"/>
      <w:bookmarkEnd w:id="4"/>
      <w:bookmarkEnd w:id="5"/>
    </w:p>
    <w:p w:rsidR="005A1ADB" w:rsidRDefault="000B6ECF">
      <w:pPr>
        <w:pStyle w:val="3"/>
        <w:rPr>
          <w:sz w:val="28"/>
        </w:rPr>
      </w:pPr>
      <w:bookmarkStart w:id="6" w:name="_Toc104561684"/>
      <w:bookmarkStart w:id="7" w:name="_Toc115079262"/>
      <w:bookmarkStart w:id="8" w:name="_Toc32368"/>
      <w:bookmarkStart w:id="9" w:name="_Toc28385"/>
      <w:bookmarkStart w:id="10" w:name="_Toc111199979"/>
      <w:r>
        <w:rPr>
          <w:rFonts w:hint="eastAsia"/>
          <w:sz w:val="28"/>
        </w:rPr>
        <w:t xml:space="preserve">1.1 </w:t>
      </w:r>
      <w:r>
        <w:rPr>
          <w:rFonts w:hint="eastAsia"/>
          <w:sz w:val="28"/>
        </w:rPr>
        <w:t>编制依据</w:t>
      </w:r>
      <w:bookmarkEnd w:id="6"/>
      <w:bookmarkEnd w:id="7"/>
      <w:bookmarkEnd w:id="8"/>
      <w:bookmarkEnd w:id="9"/>
      <w:bookmarkEnd w:id="10"/>
    </w:p>
    <w:p w:rsidR="005A1ADB" w:rsidRDefault="000B6ECF">
      <w:pPr>
        <w:pStyle w:val="4"/>
      </w:pPr>
      <w:bookmarkStart w:id="11" w:name="_Toc41847182"/>
      <w:r>
        <w:rPr>
          <w:rFonts w:hint="eastAsia"/>
        </w:rPr>
        <w:t>1.1.1</w:t>
      </w:r>
      <w:r>
        <w:rPr>
          <w:rFonts w:hint="eastAsia"/>
        </w:rPr>
        <w:t>法律、法规、规章</w:t>
      </w:r>
      <w:bookmarkEnd w:id="11"/>
    </w:p>
    <w:p w:rsidR="005A1ADB" w:rsidRDefault="000B6ECF" w:rsidP="00033A19">
      <w:pPr>
        <w:adjustRightInd w:val="0"/>
        <w:snapToGrid w:val="0"/>
        <w:spacing w:line="360" w:lineRule="auto"/>
        <w:ind w:firstLineChars="196" w:firstLine="549"/>
        <w:rPr>
          <w:rFonts w:hAnsi="宋体"/>
          <w:sz w:val="28"/>
          <w:szCs w:val="28"/>
        </w:rPr>
      </w:pPr>
      <w:r>
        <w:rPr>
          <w:rFonts w:ascii="Calibri" w:eastAsia="宋体" w:hAnsi="宋体" w:cs="Times New Roman" w:hint="eastAsia"/>
          <w:sz w:val="28"/>
          <w:szCs w:val="28"/>
        </w:rPr>
        <w:t>（</w:t>
      </w:r>
      <w:r>
        <w:rPr>
          <w:rFonts w:ascii="Calibri" w:eastAsia="宋体" w:hAnsi="Calibri" w:cs="Times New Roman"/>
          <w:sz w:val="28"/>
          <w:szCs w:val="28"/>
        </w:rPr>
        <w:t>1</w:t>
      </w:r>
      <w:r>
        <w:rPr>
          <w:rFonts w:ascii="Calibri" w:eastAsia="宋体" w:hAnsi="宋体" w:cs="Times New Roman" w:hint="eastAsia"/>
          <w:sz w:val="28"/>
          <w:szCs w:val="28"/>
        </w:rPr>
        <w:t>）《中华人民共和国环境保护法》（</w:t>
      </w:r>
      <w:r>
        <w:rPr>
          <w:rFonts w:ascii="Calibri" w:eastAsia="宋体" w:hAnsi="Calibri" w:cs="Times New Roman"/>
          <w:sz w:val="28"/>
          <w:szCs w:val="28"/>
        </w:rPr>
        <w:t>2015</w:t>
      </w:r>
      <w:r>
        <w:rPr>
          <w:rFonts w:ascii="Calibri" w:eastAsia="宋体" w:hAnsi="宋体" w:cs="Times New Roman" w:hint="eastAsia"/>
          <w:sz w:val="28"/>
          <w:szCs w:val="28"/>
        </w:rPr>
        <w:t>年</w:t>
      </w:r>
      <w:r>
        <w:rPr>
          <w:rFonts w:ascii="Calibri" w:eastAsia="宋体" w:hAnsi="Calibri" w:cs="Times New Roman"/>
          <w:sz w:val="28"/>
          <w:szCs w:val="28"/>
        </w:rPr>
        <w:t>1</w:t>
      </w:r>
      <w:r>
        <w:rPr>
          <w:rFonts w:ascii="Calibri" w:eastAsia="宋体" w:hAnsi="宋体" w:cs="Times New Roman" w:hint="eastAsia"/>
          <w:sz w:val="28"/>
          <w:szCs w:val="28"/>
        </w:rPr>
        <w:t>月</w:t>
      </w:r>
      <w:r>
        <w:rPr>
          <w:rFonts w:ascii="Calibri" w:eastAsia="宋体" w:hAnsi="Calibri" w:cs="Times New Roman"/>
          <w:sz w:val="28"/>
          <w:szCs w:val="28"/>
        </w:rPr>
        <w:t>1</w:t>
      </w:r>
      <w:r>
        <w:rPr>
          <w:rFonts w:ascii="Calibri" w:eastAsia="宋体" w:hAnsi="宋体" w:cs="Times New Roman" w:hint="eastAsia"/>
          <w:sz w:val="28"/>
          <w:szCs w:val="28"/>
        </w:rPr>
        <w:t>日）</w:t>
      </w:r>
    </w:p>
    <w:p w:rsidR="005A1ADB" w:rsidRDefault="000B6ECF">
      <w:pPr>
        <w:spacing w:line="360" w:lineRule="auto"/>
        <w:ind w:firstLineChars="200" w:firstLine="560"/>
        <w:rPr>
          <w:rFonts w:ascii="Calibri" w:eastAsia="宋体" w:hAnsi="Calibri" w:cs="Times New Roman"/>
          <w:sz w:val="28"/>
          <w:szCs w:val="28"/>
        </w:rPr>
      </w:pPr>
      <w:r>
        <w:rPr>
          <w:rFonts w:ascii="Calibri" w:eastAsia="宋体" w:hAnsi="宋体" w:cs="Times New Roman" w:hint="eastAsia"/>
          <w:sz w:val="28"/>
          <w:szCs w:val="28"/>
        </w:rPr>
        <w:t>（</w:t>
      </w:r>
      <w:r>
        <w:rPr>
          <w:rFonts w:hint="eastAsia"/>
          <w:sz w:val="28"/>
          <w:szCs w:val="28"/>
        </w:rPr>
        <w:t>2</w:t>
      </w:r>
      <w:r>
        <w:rPr>
          <w:rFonts w:ascii="Calibri" w:eastAsia="宋体" w:hAnsi="宋体" w:cs="Times New Roman" w:hint="eastAsia"/>
          <w:sz w:val="28"/>
          <w:szCs w:val="28"/>
        </w:rPr>
        <w:t>）《中华人民共和国固体废物污染环境防治法》（</w:t>
      </w:r>
      <w:r>
        <w:rPr>
          <w:rFonts w:ascii="Calibri" w:eastAsia="宋体" w:hAnsi="Calibri" w:cs="Times New Roman"/>
          <w:sz w:val="28"/>
          <w:szCs w:val="28"/>
        </w:rPr>
        <w:t>2016</w:t>
      </w:r>
      <w:r>
        <w:rPr>
          <w:rFonts w:ascii="Calibri" w:eastAsia="宋体" w:hAnsi="宋体" w:cs="Times New Roman" w:hint="eastAsia"/>
          <w:sz w:val="28"/>
          <w:szCs w:val="28"/>
        </w:rPr>
        <w:t>年</w:t>
      </w:r>
      <w:r>
        <w:rPr>
          <w:rFonts w:ascii="Calibri" w:eastAsia="宋体" w:hAnsi="Calibri" w:cs="Times New Roman"/>
          <w:sz w:val="28"/>
          <w:szCs w:val="28"/>
        </w:rPr>
        <w:t>11</w:t>
      </w:r>
      <w:r>
        <w:rPr>
          <w:rFonts w:ascii="Calibri" w:eastAsia="宋体" w:hAnsi="宋体" w:cs="Times New Roman" w:hint="eastAsia"/>
          <w:sz w:val="28"/>
          <w:szCs w:val="28"/>
        </w:rPr>
        <w:t>月</w:t>
      </w:r>
      <w:r>
        <w:rPr>
          <w:rFonts w:ascii="Calibri" w:eastAsia="宋体" w:hAnsi="Calibri" w:cs="Times New Roman"/>
          <w:sz w:val="28"/>
          <w:szCs w:val="28"/>
        </w:rPr>
        <w:t>7</w:t>
      </w:r>
      <w:r>
        <w:rPr>
          <w:rFonts w:ascii="Calibri" w:eastAsia="宋体" w:hAnsi="宋体" w:cs="Times New Roman" w:hint="eastAsia"/>
          <w:sz w:val="28"/>
          <w:szCs w:val="28"/>
        </w:rPr>
        <w:t>日）</w:t>
      </w:r>
    </w:p>
    <w:p w:rsidR="005A1ADB" w:rsidRDefault="000B6ECF">
      <w:pPr>
        <w:spacing w:line="360" w:lineRule="auto"/>
        <w:ind w:firstLineChars="200" w:firstLine="560"/>
        <w:rPr>
          <w:rFonts w:ascii="Calibri" w:eastAsia="宋体" w:hAnsi="Calibri" w:cs="Times New Roman"/>
          <w:sz w:val="28"/>
          <w:szCs w:val="28"/>
        </w:rPr>
      </w:pPr>
      <w:r>
        <w:rPr>
          <w:rFonts w:ascii="Calibri" w:eastAsia="宋体" w:hAnsi="宋体" w:cs="Times New Roman" w:hint="eastAsia"/>
          <w:sz w:val="28"/>
          <w:szCs w:val="28"/>
        </w:rPr>
        <w:t>（</w:t>
      </w:r>
      <w:r>
        <w:rPr>
          <w:rFonts w:hint="eastAsia"/>
          <w:sz w:val="28"/>
          <w:szCs w:val="28"/>
        </w:rPr>
        <w:t>3</w:t>
      </w:r>
      <w:r>
        <w:rPr>
          <w:rFonts w:ascii="Calibri" w:eastAsia="宋体" w:hAnsi="宋体" w:cs="Times New Roman" w:hint="eastAsia"/>
          <w:sz w:val="28"/>
          <w:szCs w:val="28"/>
        </w:rPr>
        <w:t>）《中华人民共和国循环经济促进法》（</w:t>
      </w:r>
      <w:r>
        <w:rPr>
          <w:rFonts w:ascii="Calibri" w:eastAsia="宋体" w:hAnsi="Calibri" w:cs="Times New Roman"/>
          <w:sz w:val="28"/>
          <w:szCs w:val="28"/>
        </w:rPr>
        <w:t>2018</w:t>
      </w:r>
      <w:r>
        <w:rPr>
          <w:rFonts w:ascii="Calibri" w:eastAsia="宋体" w:hAnsi="宋体" w:cs="Times New Roman" w:hint="eastAsia"/>
          <w:sz w:val="28"/>
          <w:szCs w:val="28"/>
        </w:rPr>
        <w:t>年</w:t>
      </w:r>
      <w:r>
        <w:rPr>
          <w:rFonts w:ascii="Calibri" w:eastAsia="宋体" w:hAnsi="宋体" w:cs="Times New Roman"/>
          <w:sz w:val="28"/>
          <w:szCs w:val="28"/>
        </w:rPr>
        <w:t>10</w:t>
      </w:r>
      <w:r>
        <w:rPr>
          <w:rFonts w:ascii="Calibri" w:eastAsia="宋体" w:hAnsi="宋体" w:cs="Times New Roman" w:hint="eastAsia"/>
          <w:sz w:val="28"/>
          <w:szCs w:val="28"/>
        </w:rPr>
        <w:t>月</w:t>
      </w:r>
      <w:r>
        <w:rPr>
          <w:rFonts w:ascii="Calibri" w:eastAsia="宋体" w:hAnsi="Calibri" w:cs="Times New Roman"/>
          <w:sz w:val="28"/>
          <w:szCs w:val="28"/>
        </w:rPr>
        <w:t>26</w:t>
      </w:r>
      <w:r>
        <w:rPr>
          <w:rFonts w:ascii="Calibri" w:eastAsia="宋体" w:hAnsi="宋体" w:cs="Times New Roman" w:hint="eastAsia"/>
          <w:sz w:val="28"/>
          <w:szCs w:val="28"/>
        </w:rPr>
        <w:t>日修订）</w:t>
      </w:r>
    </w:p>
    <w:p w:rsidR="005A1ADB" w:rsidRDefault="000B6ECF">
      <w:pPr>
        <w:spacing w:line="360" w:lineRule="auto"/>
        <w:ind w:firstLineChars="200" w:firstLine="560"/>
        <w:rPr>
          <w:rFonts w:ascii="Calibri" w:eastAsia="宋体" w:hAnsi="Calibri" w:cs="Times New Roman"/>
          <w:sz w:val="28"/>
          <w:szCs w:val="28"/>
        </w:rPr>
      </w:pPr>
      <w:r>
        <w:rPr>
          <w:rFonts w:ascii="Calibri" w:eastAsia="宋体" w:hAnsi="宋体" w:cs="Times New Roman" w:hint="eastAsia"/>
          <w:sz w:val="28"/>
          <w:szCs w:val="28"/>
        </w:rPr>
        <w:t>（</w:t>
      </w:r>
      <w:r>
        <w:rPr>
          <w:rFonts w:hint="eastAsia"/>
          <w:sz w:val="28"/>
          <w:szCs w:val="28"/>
        </w:rPr>
        <w:t>4</w:t>
      </w:r>
      <w:r>
        <w:rPr>
          <w:rFonts w:ascii="Calibri" w:eastAsia="宋体" w:hAnsi="宋体" w:cs="Times New Roman" w:hint="eastAsia"/>
          <w:sz w:val="28"/>
          <w:szCs w:val="28"/>
        </w:rPr>
        <w:t>）《中华人民共和国清洁生产促进法》（</w:t>
      </w:r>
      <w:r>
        <w:rPr>
          <w:rFonts w:ascii="Calibri" w:eastAsia="宋体" w:hAnsi="Calibri" w:cs="Times New Roman"/>
          <w:sz w:val="28"/>
          <w:szCs w:val="28"/>
        </w:rPr>
        <w:t>201</w:t>
      </w:r>
      <w:r>
        <w:rPr>
          <w:rFonts w:ascii="Calibri" w:eastAsia="宋体" w:hAnsi="Calibri" w:cs="Times New Roman" w:hint="eastAsia"/>
          <w:sz w:val="28"/>
          <w:szCs w:val="28"/>
        </w:rPr>
        <w:t>8</w:t>
      </w:r>
      <w:r>
        <w:rPr>
          <w:rFonts w:ascii="Calibri" w:eastAsia="宋体" w:hAnsi="宋体" w:cs="Times New Roman" w:hint="eastAsia"/>
          <w:sz w:val="28"/>
          <w:szCs w:val="28"/>
        </w:rPr>
        <w:t>年</w:t>
      </w:r>
      <w:r>
        <w:rPr>
          <w:rFonts w:ascii="Calibri" w:eastAsia="宋体" w:hAnsi="Calibri" w:cs="Times New Roman" w:hint="eastAsia"/>
          <w:sz w:val="28"/>
          <w:szCs w:val="28"/>
        </w:rPr>
        <w:t>12</w:t>
      </w:r>
      <w:r>
        <w:rPr>
          <w:rFonts w:ascii="Calibri" w:eastAsia="宋体" w:hAnsi="宋体" w:cs="Times New Roman" w:hint="eastAsia"/>
          <w:sz w:val="28"/>
          <w:szCs w:val="28"/>
        </w:rPr>
        <w:t>月</w:t>
      </w:r>
      <w:r>
        <w:rPr>
          <w:rFonts w:ascii="Calibri" w:eastAsia="宋体" w:hAnsi="Calibri" w:cs="Times New Roman" w:hint="eastAsia"/>
          <w:sz w:val="28"/>
          <w:szCs w:val="28"/>
        </w:rPr>
        <w:t>29</w:t>
      </w:r>
      <w:r>
        <w:rPr>
          <w:rFonts w:ascii="Calibri" w:eastAsia="宋体" w:hAnsi="宋体" w:cs="Times New Roman" w:hint="eastAsia"/>
          <w:sz w:val="28"/>
          <w:szCs w:val="28"/>
        </w:rPr>
        <w:t>日）</w:t>
      </w:r>
    </w:p>
    <w:p w:rsidR="005A1ADB" w:rsidRDefault="000B6ECF">
      <w:pPr>
        <w:spacing w:line="360" w:lineRule="auto"/>
        <w:ind w:firstLineChars="200" w:firstLine="560"/>
        <w:rPr>
          <w:rFonts w:ascii="Calibri" w:eastAsia="宋体" w:hAnsi="Calibri" w:cs="Times New Roman"/>
          <w:sz w:val="28"/>
          <w:szCs w:val="28"/>
        </w:rPr>
      </w:pPr>
      <w:r>
        <w:rPr>
          <w:rFonts w:ascii="Calibri" w:eastAsia="宋体" w:hAnsi="宋体" w:cs="Times New Roman" w:hint="eastAsia"/>
          <w:sz w:val="28"/>
          <w:szCs w:val="28"/>
        </w:rPr>
        <w:t>（</w:t>
      </w:r>
      <w:r>
        <w:rPr>
          <w:rFonts w:hint="eastAsia"/>
          <w:sz w:val="28"/>
          <w:szCs w:val="28"/>
        </w:rPr>
        <w:t>5</w:t>
      </w:r>
      <w:r>
        <w:rPr>
          <w:rFonts w:ascii="Calibri" w:eastAsia="宋体" w:hAnsi="宋体" w:cs="Times New Roman" w:hint="eastAsia"/>
          <w:sz w:val="28"/>
          <w:szCs w:val="28"/>
        </w:rPr>
        <w:t>）《中华人民共和国土地管理法》（</w:t>
      </w:r>
      <w:r>
        <w:rPr>
          <w:rFonts w:ascii="Calibri" w:eastAsia="宋体" w:hAnsi="Calibri" w:cs="Times New Roman"/>
          <w:sz w:val="28"/>
          <w:szCs w:val="28"/>
        </w:rPr>
        <w:t>2004</w:t>
      </w:r>
      <w:r>
        <w:rPr>
          <w:rFonts w:ascii="Calibri" w:eastAsia="宋体" w:hAnsi="宋体" w:cs="Times New Roman" w:hint="eastAsia"/>
          <w:sz w:val="28"/>
          <w:szCs w:val="28"/>
        </w:rPr>
        <w:t>年</w:t>
      </w:r>
      <w:r>
        <w:rPr>
          <w:rFonts w:ascii="Calibri" w:eastAsia="宋体" w:hAnsi="Calibri" w:cs="Times New Roman"/>
          <w:sz w:val="28"/>
          <w:szCs w:val="28"/>
        </w:rPr>
        <w:t>8</w:t>
      </w:r>
      <w:r>
        <w:rPr>
          <w:rFonts w:ascii="Calibri" w:eastAsia="宋体" w:hAnsi="宋体" w:cs="Times New Roman" w:hint="eastAsia"/>
          <w:sz w:val="28"/>
          <w:szCs w:val="28"/>
        </w:rPr>
        <w:t>月</w:t>
      </w:r>
      <w:r>
        <w:rPr>
          <w:rFonts w:ascii="Calibri" w:eastAsia="宋体" w:hAnsi="Calibri" w:cs="Times New Roman"/>
          <w:sz w:val="28"/>
          <w:szCs w:val="28"/>
        </w:rPr>
        <w:t>28</w:t>
      </w:r>
      <w:r>
        <w:rPr>
          <w:rFonts w:ascii="Calibri" w:eastAsia="宋体" w:hAnsi="宋体" w:cs="Times New Roman" w:hint="eastAsia"/>
          <w:sz w:val="28"/>
          <w:szCs w:val="28"/>
        </w:rPr>
        <w:t>日）</w:t>
      </w:r>
    </w:p>
    <w:p w:rsidR="005A1ADB" w:rsidRDefault="000B6ECF">
      <w:pPr>
        <w:spacing w:line="360" w:lineRule="auto"/>
        <w:ind w:firstLineChars="200" w:firstLine="560"/>
        <w:rPr>
          <w:rFonts w:ascii="Calibri" w:eastAsia="宋体" w:hAnsi="宋体" w:cs="Times New Roman"/>
          <w:sz w:val="28"/>
          <w:szCs w:val="28"/>
        </w:rPr>
      </w:pPr>
      <w:r>
        <w:rPr>
          <w:rFonts w:ascii="Calibri" w:eastAsia="宋体" w:hAnsi="宋体" w:cs="Times New Roman" w:hint="eastAsia"/>
          <w:sz w:val="28"/>
          <w:szCs w:val="28"/>
        </w:rPr>
        <w:t>（</w:t>
      </w:r>
      <w:r>
        <w:rPr>
          <w:rFonts w:hAnsi="宋体" w:hint="eastAsia"/>
          <w:sz w:val="28"/>
          <w:szCs w:val="28"/>
        </w:rPr>
        <w:t>6</w:t>
      </w:r>
      <w:r>
        <w:rPr>
          <w:rFonts w:ascii="Calibri" w:eastAsia="宋体" w:hAnsi="宋体" w:cs="Times New Roman" w:hint="eastAsia"/>
          <w:sz w:val="28"/>
          <w:szCs w:val="28"/>
        </w:rPr>
        <w:t>）《中华人民共和国土壤污染防治法》（</w:t>
      </w:r>
      <w:r>
        <w:rPr>
          <w:rFonts w:ascii="Calibri" w:eastAsia="宋体" w:hAnsi="宋体" w:cs="Times New Roman"/>
          <w:sz w:val="28"/>
          <w:szCs w:val="28"/>
        </w:rPr>
        <w:t>2019</w:t>
      </w:r>
      <w:r>
        <w:rPr>
          <w:rFonts w:ascii="Calibri" w:eastAsia="宋体" w:hAnsi="宋体" w:cs="Times New Roman" w:hint="eastAsia"/>
          <w:sz w:val="28"/>
          <w:szCs w:val="28"/>
        </w:rPr>
        <w:t>年</w:t>
      </w:r>
      <w:r>
        <w:rPr>
          <w:rFonts w:ascii="Calibri" w:eastAsia="宋体" w:hAnsi="宋体" w:cs="Times New Roman"/>
          <w:sz w:val="28"/>
          <w:szCs w:val="28"/>
        </w:rPr>
        <w:t>1</w:t>
      </w:r>
      <w:r>
        <w:rPr>
          <w:rFonts w:ascii="Calibri" w:eastAsia="宋体" w:hAnsi="宋体" w:cs="Times New Roman" w:hint="eastAsia"/>
          <w:sz w:val="28"/>
          <w:szCs w:val="28"/>
        </w:rPr>
        <w:t>月</w:t>
      </w:r>
      <w:r>
        <w:rPr>
          <w:rFonts w:ascii="Calibri" w:eastAsia="宋体" w:hAnsi="宋体" w:cs="Times New Roman"/>
          <w:sz w:val="28"/>
          <w:szCs w:val="28"/>
        </w:rPr>
        <w:t>1</w:t>
      </w:r>
      <w:r>
        <w:rPr>
          <w:rFonts w:ascii="Calibri" w:eastAsia="宋体" w:hAnsi="宋体" w:cs="Times New Roman" w:hint="eastAsia"/>
          <w:sz w:val="28"/>
          <w:szCs w:val="28"/>
        </w:rPr>
        <w:t>日施行）</w:t>
      </w:r>
    </w:p>
    <w:p w:rsidR="005A1ADB" w:rsidRDefault="000B6ECF">
      <w:pPr>
        <w:spacing w:line="360" w:lineRule="auto"/>
        <w:ind w:firstLineChars="200" w:firstLine="560"/>
        <w:rPr>
          <w:rFonts w:ascii="Calibri" w:eastAsia="宋体" w:hAnsi="宋体" w:cs="Times New Roman"/>
          <w:sz w:val="28"/>
          <w:szCs w:val="28"/>
        </w:rPr>
      </w:pPr>
      <w:r>
        <w:rPr>
          <w:rFonts w:ascii="Calibri" w:eastAsia="宋体" w:hAnsi="宋体" w:cs="Times New Roman" w:hint="eastAsia"/>
          <w:sz w:val="28"/>
          <w:szCs w:val="28"/>
        </w:rPr>
        <w:t>（</w:t>
      </w:r>
      <w:r>
        <w:rPr>
          <w:rFonts w:hint="eastAsia"/>
          <w:sz w:val="28"/>
          <w:szCs w:val="28"/>
        </w:rPr>
        <w:t>7</w:t>
      </w:r>
      <w:r>
        <w:rPr>
          <w:rFonts w:ascii="Calibri" w:eastAsia="宋体" w:hAnsi="宋体" w:cs="Times New Roman" w:hint="eastAsia"/>
          <w:sz w:val="28"/>
          <w:szCs w:val="28"/>
        </w:rPr>
        <w:t>）《中华人民共和国城乡规划法》（</w:t>
      </w:r>
      <w:r>
        <w:rPr>
          <w:rFonts w:ascii="Calibri" w:eastAsia="宋体" w:hAnsi="Calibri" w:cs="Times New Roman"/>
          <w:sz w:val="28"/>
          <w:szCs w:val="28"/>
        </w:rPr>
        <w:t>2008</w:t>
      </w:r>
      <w:r>
        <w:rPr>
          <w:rFonts w:ascii="Calibri" w:eastAsia="宋体" w:hAnsi="宋体" w:cs="Times New Roman" w:hint="eastAsia"/>
          <w:sz w:val="28"/>
          <w:szCs w:val="28"/>
        </w:rPr>
        <w:t>年</w:t>
      </w:r>
      <w:r>
        <w:rPr>
          <w:rFonts w:ascii="Calibri" w:eastAsia="宋体" w:hAnsi="Calibri" w:cs="Times New Roman"/>
          <w:sz w:val="28"/>
          <w:szCs w:val="28"/>
        </w:rPr>
        <w:t>1</w:t>
      </w:r>
      <w:r>
        <w:rPr>
          <w:rFonts w:ascii="Calibri" w:eastAsia="宋体" w:hAnsi="宋体" w:cs="Times New Roman" w:hint="eastAsia"/>
          <w:sz w:val="28"/>
          <w:szCs w:val="28"/>
        </w:rPr>
        <w:t>月</w:t>
      </w:r>
      <w:r>
        <w:rPr>
          <w:rFonts w:ascii="Calibri" w:eastAsia="宋体" w:hAnsi="Calibri" w:cs="Times New Roman"/>
          <w:sz w:val="28"/>
          <w:szCs w:val="28"/>
        </w:rPr>
        <w:t>1</w:t>
      </w:r>
      <w:r>
        <w:rPr>
          <w:rFonts w:ascii="Calibri" w:eastAsia="宋体" w:hAnsi="宋体" w:cs="Times New Roman" w:hint="eastAsia"/>
          <w:sz w:val="28"/>
          <w:szCs w:val="28"/>
        </w:rPr>
        <w:t>日）</w:t>
      </w:r>
    </w:p>
    <w:p w:rsidR="005A1ADB" w:rsidRDefault="000B6ECF">
      <w:pPr>
        <w:pStyle w:val="af3"/>
        <w:adjustRightInd w:val="0"/>
        <w:snapToGrid w:val="0"/>
        <w:jc w:val="left"/>
        <w:rPr>
          <w:rFonts w:ascii="Calibri" w:hAnsi="宋体"/>
          <w:sz w:val="28"/>
        </w:rPr>
      </w:pPr>
      <w:r>
        <w:rPr>
          <w:sz w:val="28"/>
        </w:rPr>
        <w:t>（</w:t>
      </w:r>
      <w:r>
        <w:rPr>
          <w:rFonts w:hint="eastAsia"/>
          <w:sz w:val="28"/>
        </w:rPr>
        <w:t>8</w:t>
      </w:r>
      <w:r>
        <w:rPr>
          <w:sz w:val="28"/>
        </w:rPr>
        <w:t>）</w:t>
      </w:r>
      <w:r>
        <w:rPr>
          <w:rFonts w:ascii="Calibri" w:hAnsi="宋体" w:hint="eastAsia"/>
          <w:sz w:val="28"/>
        </w:rPr>
        <w:t>《国务院办公厅关于加快推进畜禽养殖废弃物资源化利用的意见》（国办发</w:t>
      </w:r>
      <w:r>
        <w:rPr>
          <w:rFonts w:ascii="Calibri" w:hAnsi="宋体" w:hint="eastAsia"/>
          <w:sz w:val="28"/>
        </w:rPr>
        <w:t>[2017]48</w:t>
      </w:r>
      <w:r>
        <w:rPr>
          <w:rFonts w:ascii="Calibri" w:hAnsi="宋体" w:hint="eastAsia"/>
          <w:sz w:val="28"/>
        </w:rPr>
        <w:t>号）</w:t>
      </w:r>
    </w:p>
    <w:p w:rsidR="005A1ADB" w:rsidRDefault="000B6ECF">
      <w:pPr>
        <w:spacing w:line="360" w:lineRule="auto"/>
        <w:ind w:firstLineChars="200" w:firstLine="560"/>
        <w:rPr>
          <w:rFonts w:hAnsi="宋体"/>
          <w:sz w:val="28"/>
          <w:szCs w:val="28"/>
        </w:rPr>
      </w:pPr>
      <w:r>
        <w:rPr>
          <w:rFonts w:hAnsi="宋体"/>
          <w:sz w:val="28"/>
          <w:szCs w:val="28"/>
        </w:rPr>
        <w:t>（</w:t>
      </w:r>
      <w:r>
        <w:rPr>
          <w:rFonts w:hAnsi="宋体"/>
          <w:sz w:val="28"/>
          <w:szCs w:val="28"/>
        </w:rPr>
        <w:t>9</w:t>
      </w:r>
      <w:r>
        <w:rPr>
          <w:rFonts w:hAnsi="宋体"/>
          <w:sz w:val="28"/>
          <w:szCs w:val="28"/>
        </w:rPr>
        <w:t>）《畜禽养殖业污染物处理与处置》</w:t>
      </w:r>
      <w:r>
        <w:rPr>
          <w:rFonts w:hAnsi="宋体" w:hint="eastAsia"/>
          <w:sz w:val="28"/>
          <w:szCs w:val="28"/>
        </w:rPr>
        <w:t>（</w:t>
      </w:r>
      <w:r>
        <w:rPr>
          <w:rFonts w:hAnsi="宋体"/>
          <w:sz w:val="28"/>
          <w:szCs w:val="28"/>
        </w:rPr>
        <w:t>2004</w:t>
      </w:r>
      <w:r>
        <w:rPr>
          <w:rFonts w:hAnsi="宋体"/>
          <w:sz w:val="28"/>
          <w:szCs w:val="28"/>
        </w:rPr>
        <w:t>年</w:t>
      </w:r>
      <w:r>
        <w:rPr>
          <w:rFonts w:hAnsi="宋体"/>
          <w:sz w:val="28"/>
          <w:szCs w:val="28"/>
        </w:rPr>
        <w:t>3</w:t>
      </w:r>
      <w:r>
        <w:rPr>
          <w:rFonts w:hAnsi="宋体"/>
          <w:sz w:val="28"/>
          <w:szCs w:val="28"/>
        </w:rPr>
        <w:t>月</w:t>
      </w:r>
      <w:r>
        <w:rPr>
          <w:rFonts w:hAnsi="宋体" w:hint="eastAsia"/>
          <w:sz w:val="28"/>
          <w:szCs w:val="28"/>
        </w:rPr>
        <w:t>）</w:t>
      </w:r>
    </w:p>
    <w:p w:rsidR="005A1ADB" w:rsidRDefault="000B6ECF">
      <w:pPr>
        <w:spacing w:line="360" w:lineRule="auto"/>
        <w:ind w:firstLineChars="200" w:firstLine="560"/>
        <w:rPr>
          <w:rFonts w:hAnsi="宋体"/>
          <w:sz w:val="28"/>
          <w:szCs w:val="28"/>
        </w:rPr>
      </w:pPr>
      <w:r>
        <w:rPr>
          <w:rFonts w:hAnsi="宋体"/>
          <w:sz w:val="28"/>
          <w:szCs w:val="28"/>
        </w:rPr>
        <w:t>（</w:t>
      </w:r>
      <w:r>
        <w:rPr>
          <w:rFonts w:hAnsi="宋体"/>
          <w:sz w:val="28"/>
          <w:szCs w:val="28"/>
        </w:rPr>
        <w:t>1</w:t>
      </w:r>
      <w:r>
        <w:rPr>
          <w:rFonts w:hAnsi="宋体" w:hint="eastAsia"/>
          <w:sz w:val="28"/>
          <w:szCs w:val="28"/>
        </w:rPr>
        <w:t>0</w:t>
      </w:r>
      <w:r>
        <w:rPr>
          <w:rFonts w:hAnsi="宋体"/>
          <w:sz w:val="28"/>
          <w:szCs w:val="28"/>
        </w:rPr>
        <w:t>）《畜禽规模养殖污染防治条例》（中华人民共和国国务院令第</w:t>
      </w:r>
      <w:r>
        <w:rPr>
          <w:rFonts w:hAnsi="宋体"/>
          <w:sz w:val="28"/>
          <w:szCs w:val="28"/>
        </w:rPr>
        <w:t>643</w:t>
      </w:r>
      <w:r>
        <w:rPr>
          <w:rFonts w:hAnsi="宋体"/>
          <w:sz w:val="28"/>
          <w:szCs w:val="28"/>
        </w:rPr>
        <w:t>号）</w:t>
      </w:r>
    </w:p>
    <w:p w:rsidR="005A1ADB" w:rsidRDefault="000B6ECF">
      <w:pPr>
        <w:spacing w:line="360" w:lineRule="auto"/>
        <w:ind w:firstLineChars="200" w:firstLine="560"/>
        <w:rPr>
          <w:rFonts w:hAnsi="宋体"/>
          <w:sz w:val="28"/>
          <w:szCs w:val="28"/>
        </w:rPr>
      </w:pPr>
      <w:r>
        <w:rPr>
          <w:rFonts w:hAnsi="宋体" w:hint="eastAsia"/>
          <w:sz w:val="28"/>
          <w:szCs w:val="28"/>
        </w:rPr>
        <w:t>（</w:t>
      </w:r>
      <w:r>
        <w:rPr>
          <w:rFonts w:hAnsi="宋体" w:hint="eastAsia"/>
          <w:sz w:val="28"/>
          <w:szCs w:val="28"/>
        </w:rPr>
        <w:t>11</w:t>
      </w:r>
      <w:r>
        <w:rPr>
          <w:rFonts w:hAnsi="宋体" w:hint="eastAsia"/>
          <w:sz w:val="28"/>
          <w:szCs w:val="28"/>
        </w:rPr>
        <w:t>）《生活垃圾分类标志》（</w:t>
      </w:r>
      <w:r>
        <w:rPr>
          <w:rFonts w:hAnsi="宋体" w:hint="eastAsia"/>
          <w:sz w:val="28"/>
          <w:szCs w:val="28"/>
        </w:rPr>
        <w:t>GB/T</w:t>
      </w:r>
      <w:r>
        <w:rPr>
          <w:rFonts w:hAnsi="宋体" w:hint="eastAsia"/>
          <w:sz w:val="28"/>
          <w:szCs w:val="28"/>
        </w:rPr>
        <w:t xml:space="preserve"> </w:t>
      </w:r>
      <w:r>
        <w:rPr>
          <w:rFonts w:hAnsi="宋体" w:hint="eastAsia"/>
          <w:sz w:val="28"/>
          <w:szCs w:val="28"/>
        </w:rPr>
        <w:t>19095-2019</w:t>
      </w:r>
      <w:r>
        <w:rPr>
          <w:rFonts w:hAnsi="宋体" w:hint="eastAsia"/>
          <w:sz w:val="28"/>
          <w:szCs w:val="28"/>
        </w:rPr>
        <w:t>）</w:t>
      </w:r>
    </w:p>
    <w:p w:rsidR="005A1ADB" w:rsidRDefault="000B6ECF">
      <w:pPr>
        <w:spacing w:line="360" w:lineRule="auto"/>
        <w:ind w:firstLineChars="200" w:firstLine="560"/>
        <w:rPr>
          <w:rFonts w:hAnsi="宋体"/>
          <w:sz w:val="28"/>
          <w:szCs w:val="28"/>
        </w:rPr>
      </w:pPr>
      <w:r>
        <w:rPr>
          <w:rFonts w:hAnsi="宋体" w:hint="eastAsia"/>
          <w:sz w:val="28"/>
          <w:szCs w:val="28"/>
        </w:rPr>
        <w:t>（</w:t>
      </w:r>
      <w:r>
        <w:rPr>
          <w:rFonts w:hAnsi="宋体" w:hint="eastAsia"/>
          <w:sz w:val="28"/>
          <w:szCs w:val="28"/>
        </w:rPr>
        <w:t>12</w:t>
      </w:r>
      <w:r>
        <w:rPr>
          <w:rFonts w:hAnsi="宋体" w:hint="eastAsia"/>
          <w:sz w:val="28"/>
          <w:szCs w:val="28"/>
        </w:rPr>
        <w:t>）《农业部办公厅关于印发〈畜禽规模养殖场粪污资源化利用设施建设规范（试行）〉的通知》（农业部农办牧〔</w:t>
      </w:r>
      <w:r>
        <w:rPr>
          <w:rFonts w:hAnsi="宋体" w:hint="eastAsia"/>
          <w:sz w:val="28"/>
          <w:szCs w:val="28"/>
        </w:rPr>
        <w:t>2018</w:t>
      </w:r>
      <w:r>
        <w:rPr>
          <w:rFonts w:hAnsi="宋体" w:hint="eastAsia"/>
          <w:sz w:val="28"/>
          <w:szCs w:val="28"/>
        </w:rPr>
        <w:t>〕</w:t>
      </w:r>
      <w:r>
        <w:rPr>
          <w:rFonts w:hAnsi="宋体" w:hint="eastAsia"/>
          <w:sz w:val="28"/>
          <w:szCs w:val="28"/>
        </w:rPr>
        <w:t>2</w:t>
      </w:r>
      <w:r>
        <w:rPr>
          <w:rFonts w:hAnsi="宋体" w:hint="eastAsia"/>
          <w:sz w:val="28"/>
          <w:szCs w:val="28"/>
        </w:rPr>
        <w:t>号）</w:t>
      </w:r>
    </w:p>
    <w:p w:rsidR="005A1ADB" w:rsidRDefault="000B6ECF">
      <w:pPr>
        <w:spacing w:line="360" w:lineRule="auto"/>
        <w:ind w:firstLineChars="200" w:firstLine="560"/>
        <w:rPr>
          <w:rFonts w:hAnsi="宋体"/>
          <w:sz w:val="28"/>
          <w:szCs w:val="28"/>
        </w:rPr>
      </w:pPr>
      <w:r>
        <w:rPr>
          <w:rFonts w:hAnsi="宋体" w:hint="eastAsia"/>
          <w:sz w:val="28"/>
          <w:szCs w:val="28"/>
        </w:rPr>
        <w:lastRenderedPageBreak/>
        <w:t>（</w:t>
      </w:r>
      <w:r>
        <w:rPr>
          <w:rFonts w:hAnsi="宋体" w:hint="eastAsia"/>
          <w:sz w:val="28"/>
          <w:szCs w:val="28"/>
        </w:rPr>
        <w:t>13</w:t>
      </w:r>
      <w:r>
        <w:rPr>
          <w:rFonts w:hAnsi="宋体" w:hint="eastAsia"/>
          <w:sz w:val="28"/>
          <w:szCs w:val="28"/>
        </w:rPr>
        <w:t>）《危险废物污染防治技术政策》（环发</w:t>
      </w:r>
      <w:r>
        <w:rPr>
          <w:rFonts w:hAnsi="宋体"/>
          <w:sz w:val="28"/>
          <w:szCs w:val="28"/>
        </w:rPr>
        <w:t>[2001]99</w:t>
      </w:r>
      <w:r>
        <w:rPr>
          <w:rFonts w:hAnsi="宋体" w:hint="eastAsia"/>
          <w:sz w:val="28"/>
          <w:szCs w:val="28"/>
        </w:rPr>
        <w:t>号）</w:t>
      </w:r>
    </w:p>
    <w:p w:rsidR="005A1ADB" w:rsidRDefault="000B6ECF">
      <w:pPr>
        <w:spacing w:line="360" w:lineRule="auto"/>
        <w:ind w:firstLineChars="200" w:firstLine="560"/>
        <w:rPr>
          <w:rFonts w:hAnsi="宋体"/>
          <w:sz w:val="28"/>
          <w:szCs w:val="28"/>
        </w:rPr>
      </w:pPr>
      <w:r>
        <w:rPr>
          <w:rFonts w:hAnsi="宋体" w:hint="eastAsia"/>
          <w:sz w:val="28"/>
          <w:szCs w:val="28"/>
        </w:rPr>
        <w:t>（</w:t>
      </w:r>
      <w:r>
        <w:rPr>
          <w:rFonts w:hAnsi="宋体" w:hint="eastAsia"/>
          <w:sz w:val="28"/>
          <w:szCs w:val="28"/>
        </w:rPr>
        <w:t>14</w:t>
      </w:r>
      <w:r>
        <w:rPr>
          <w:rFonts w:hAnsi="宋体" w:hint="eastAsia"/>
          <w:sz w:val="28"/>
          <w:szCs w:val="28"/>
        </w:rPr>
        <w:t>）</w:t>
      </w:r>
      <w:r>
        <w:rPr>
          <w:rFonts w:hAnsi="宋体" w:hint="eastAsia"/>
          <w:sz w:val="28"/>
          <w:szCs w:val="28"/>
        </w:rPr>
        <w:t>《危险废物污染贮存控制标准》（</w:t>
      </w:r>
      <w:r>
        <w:rPr>
          <w:rFonts w:hAnsi="宋体"/>
          <w:sz w:val="28"/>
          <w:szCs w:val="28"/>
        </w:rPr>
        <w:t>GB18597-2001</w:t>
      </w:r>
      <w:r>
        <w:rPr>
          <w:rFonts w:hAnsi="宋体" w:hint="eastAsia"/>
          <w:sz w:val="28"/>
          <w:szCs w:val="28"/>
        </w:rPr>
        <w:t>）</w:t>
      </w:r>
    </w:p>
    <w:p w:rsidR="005A1ADB" w:rsidRDefault="000B6ECF">
      <w:pPr>
        <w:spacing w:line="360" w:lineRule="auto"/>
        <w:ind w:firstLineChars="200" w:firstLine="560"/>
        <w:rPr>
          <w:rFonts w:hAnsi="宋体"/>
          <w:sz w:val="28"/>
          <w:szCs w:val="28"/>
        </w:rPr>
      </w:pPr>
      <w:r>
        <w:rPr>
          <w:rFonts w:hAnsi="宋体" w:hint="eastAsia"/>
          <w:sz w:val="28"/>
          <w:szCs w:val="28"/>
        </w:rPr>
        <w:t>（</w:t>
      </w:r>
      <w:r>
        <w:rPr>
          <w:rFonts w:hAnsi="宋体"/>
          <w:sz w:val="28"/>
          <w:szCs w:val="28"/>
        </w:rPr>
        <w:t>1</w:t>
      </w:r>
      <w:r>
        <w:rPr>
          <w:rFonts w:hAnsi="宋体" w:hint="eastAsia"/>
          <w:sz w:val="28"/>
          <w:szCs w:val="28"/>
        </w:rPr>
        <w:t>5</w:t>
      </w:r>
      <w:r>
        <w:rPr>
          <w:rFonts w:hAnsi="宋体" w:hint="eastAsia"/>
          <w:sz w:val="28"/>
          <w:szCs w:val="28"/>
        </w:rPr>
        <w:t>）《危险废物转移联单管理办法》（国家环保局令第</w:t>
      </w:r>
      <w:r>
        <w:rPr>
          <w:rFonts w:hAnsi="宋体"/>
          <w:sz w:val="28"/>
          <w:szCs w:val="28"/>
        </w:rPr>
        <w:t>5</w:t>
      </w:r>
      <w:r>
        <w:rPr>
          <w:rFonts w:hAnsi="宋体" w:hint="eastAsia"/>
          <w:sz w:val="28"/>
          <w:szCs w:val="28"/>
        </w:rPr>
        <w:t>号）</w:t>
      </w:r>
    </w:p>
    <w:p w:rsidR="005A1ADB" w:rsidRDefault="000B6ECF" w:rsidP="00033A19">
      <w:pPr>
        <w:adjustRightInd w:val="0"/>
        <w:snapToGrid w:val="0"/>
        <w:spacing w:line="360" w:lineRule="auto"/>
        <w:ind w:firstLineChars="196" w:firstLine="549"/>
        <w:rPr>
          <w:sz w:val="28"/>
          <w:szCs w:val="28"/>
        </w:rPr>
      </w:pPr>
      <w:r>
        <w:rPr>
          <w:rFonts w:hint="eastAsia"/>
          <w:sz w:val="28"/>
          <w:szCs w:val="28"/>
        </w:rPr>
        <w:t>（</w:t>
      </w:r>
      <w:r>
        <w:rPr>
          <w:rFonts w:hint="eastAsia"/>
          <w:sz w:val="28"/>
          <w:szCs w:val="28"/>
        </w:rPr>
        <w:t>16</w:t>
      </w:r>
      <w:r>
        <w:rPr>
          <w:rFonts w:hint="eastAsia"/>
          <w:sz w:val="28"/>
          <w:szCs w:val="28"/>
        </w:rPr>
        <w:t>）《粉煤灰综合利用管理办法》（国家发改委令</w:t>
      </w:r>
      <w:r>
        <w:rPr>
          <w:rFonts w:hint="eastAsia"/>
          <w:sz w:val="28"/>
          <w:szCs w:val="28"/>
        </w:rPr>
        <w:t>2013</w:t>
      </w:r>
      <w:r>
        <w:rPr>
          <w:rFonts w:hint="eastAsia"/>
          <w:sz w:val="28"/>
          <w:szCs w:val="28"/>
        </w:rPr>
        <w:t>年</w:t>
      </w:r>
      <w:r>
        <w:rPr>
          <w:rFonts w:hint="eastAsia"/>
          <w:sz w:val="28"/>
          <w:szCs w:val="28"/>
        </w:rPr>
        <w:t>19</w:t>
      </w:r>
      <w:r>
        <w:rPr>
          <w:rFonts w:hint="eastAsia"/>
          <w:sz w:val="28"/>
          <w:szCs w:val="28"/>
        </w:rPr>
        <w:t>号）</w:t>
      </w:r>
    </w:p>
    <w:p w:rsidR="005A1ADB" w:rsidRDefault="000B6ECF" w:rsidP="00033A19">
      <w:pPr>
        <w:adjustRightInd w:val="0"/>
        <w:snapToGrid w:val="0"/>
        <w:spacing w:line="360" w:lineRule="auto"/>
        <w:ind w:firstLineChars="196" w:firstLine="549"/>
        <w:rPr>
          <w:sz w:val="28"/>
          <w:szCs w:val="28"/>
        </w:rPr>
      </w:pPr>
      <w:r>
        <w:rPr>
          <w:rFonts w:hint="eastAsia"/>
          <w:sz w:val="28"/>
          <w:szCs w:val="28"/>
        </w:rPr>
        <w:t>（</w:t>
      </w:r>
      <w:r>
        <w:rPr>
          <w:rFonts w:hint="eastAsia"/>
          <w:sz w:val="28"/>
          <w:szCs w:val="28"/>
        </w:rPr>
        <w:t>17</w:t>
      </w:r>
      <w:r>
        <w:rPr>
          <w:rFonts w:hint="eastAsia"/>
          <w:sz w:val="28"/>
          <w:szCs w:val="28"/>
        </w:rPr>
        <w:t>）《道路危险货物运输管理规定》（交通运输部令</w:t>
      </w:r>
      <w:r>
        <w:rPr>
          <w:rFonts w:hint="eastAsia"/>
          <w:sz w:val="28"/>
          <w:szCs w:val="28"/>
        </w:rPr>
        <w:t>2013</w:t>
      </w:r>
      <w:r>
        <w:rPr>
          <w:rFonts w:hint="eastAsia"/>
          <w:sz w:val="28"/>
          <w:szCs w:val="28"/>
        </w:rPr>
        <w:t>年</w:t>
      </w:r>
      <w:r>
        <w:rPr>
          <w:rFonts w:hint="eastAsia"/>
          <w:sz w:val="28"/>
          <w:szCs w:val="28"/>
        </w:rPr>
        <w:t>2</w:t>
      </w:r>
      <w:r>
        <w:rPr>
          <w:rFonts w:hint="eastAsia"/>
          <w:sz w:val="28"/>
          <w:szCs w:val="28"/>
        </w:rPr>
        <w:t>号）</w:t>
      </w:r>
    </w:p>
    <w:p w:rsidR="005A1ADB" w:rsidRDefault="000B6ECF" w:rsidP="00033A19">
      <w:pPr>
        <w:adjustRightInd w:val="0"/>
        <w:snapToGrid w:val="0"/>
        <w:spacing w:line="360" w:lineRule="auto"/>
        <w:ind w:firstLineChars="196" w:firstLine="549"/>
        <w:rPr>
          <w:sz w:val="28"/>
          <w:szCs w:val="28"/>
        </w:rPr>
      </w:pPr>
      <w:r>
        <w:rPr>
          <w:rFonts w:hint="eastAsia"/>
          <w:sz w:val="28"/>
          <w:szCs w:val="28"/>
        </w:rPr>
        <w:t>（</w:t>
      </w:r>
      <w:r>
        <w:rPr>
          <w:rFonts w:hint="eastAsia"/>
          <w:sz w:val="28"/>
          <w:szCs w:val="28"/>
        </w:rPr>
        <w:t>18</w:t>
      </w:r>
      <w:r>
        <w:rPr>
          <w:rFonts w:hint="eastAsia"/>
          <w:sz w:val="28"/>
          <w:szCs w:val="28"/>
        </w:rPr>
        <w:t>）《再生资源管理办法》（商务部令</w:t>
      </w:r>
      <w:r>
        <w:rPr>
          <w:rFonts w:hint="eastAsia"/>
          <w:sz w:val="28"/>
          <w:szCs w:val="28"/>
        </w:rPr>
        <w:t>2007</w:t>
      </w:r>
      <w:r>
        <w:rPr>
          <w:rFonts w:hint="eastAsia"/>
          <w:sz w:val="28"/>
          <w:szCs w:val="28"/>
        </w:rPr>
        <w:t>年</w:t>
      </w:r>
      <w:r>
        <w:rPr>
          <w:rFonts w:hint="eastAsia"/>
          <w:sz w:val="28"/>
          <w:szCs w:val="28"/>
        </w:rPr>
        <w:t>8</w:t>
      </w:r>
      <w:r>
        <w:rPr>
          <w:rFonts w:hint="eastAsia"/>
          <w:sz w:val="28"/>
          <w:szCs w:val="28"/>
        </w:rPr>
        <w:t>号）、商务部</w:t>
      </w:r>
      <w:r>
        <w:rPr>
          <w:rFonts w:hint="eastAsia"/>
          <w:sz w:val="28"/>
          <w:szCs w:val="28"/>
        </w:rPr>
        <w:t>修订《再生资源回收管理办法》</w:t>
      </w:r>
    </w:p>
    <w:p w:rsidR="005A1ADB" w:rsidRDefault="000B6ECF" w:rsidP="00033A19">
      <w:pPr>
        <w:adjustRightInd w:val="0"/>
        <w:snapToGrid w:val="0"/>
        <w:spacing w:line="360" w:lineRule="auto"/>
        <w:ind w:firstLineChars="196" w:firstLine="549"/>
        <w:rPr>
          <w:sz w:val="28"/>
          <w:szCs w:val="28"/>
        </w:rPr>
      </w:pPr>
      <w:r>
        <w:rPr>
          <w:rFonts w:hint="eastAsia"/>
          <w:sz w:val="28"/>
          <w:szCs w:val="28"/>
        </w:rPr>
        <w:t>（</w:t>
      </w:r>
      <w:r>
        <w:rPr>
          <w:rFonts w:hint="eastAsia"/>
          <w:sz w:val="28"/>
          <w:szCs w:val="28"/>
        </w:rPr>
        <w:t>19</w:t>
      </w:r>
      <w:r>
        <w:rPr>
          <w:rFonts w:hint="eastAsia"/>
          <w:sz w:val="28"/>
          <w:szCs w:val="28"/>
        </w:rPr>
        <w:t>）《吉林省禁止生产销售和提供一次性不可降解塑料袋、塑料餐具的规定（</w:t>
      </w:r>
      <w:r>
        <w:rPr>
          <w:rFonts w:hint="eastAsia"/>
          <w:sz w:val="28"/>
          <w:szCs w:val="28"/>
        </w:rPr>
        <w:t>2019</w:t>
      </w:r>
      <w:r>
        <w:rPr>
          <w:rFonts w:hint="eastAsia"/>
          <w:sz w:val="28"/>
          <w:szCs w:val="28"/>
        </w:rPr>
        <w:t>年征求意见稿）》</w:t>
      </w:r>
    </w:p>
    <w:p w:rsidR="005A1ADB" w:rsidRDefault="000B6ECF">
      <w:pPr>
        <w:pStyle w:val="4"/>
      </w:pPr>
      <w:bookmarkStart w:id="12" w:name="_Toc41847183"/>
      <w:r>
        <w:rPr>
          <w:rFonts w:hint="eastAsia"/>
        </w:rPr>
        <w:t>1.1.2</w:t>
      </w:r>
      <w:r>
        <w:rPr>
          <w:rFonts w:hint="eastAsia"/>
        </w:rPr>
        <w:t>相关通知、指导意见</w:t>
      </w:r>
      <w:bookmarkEnd w:id="12"/>
    </w:p>
    <w:p w:rsidR="005A1ADB" w:rsidRDefault="000B6ECF" w:rsidP="00033A19">
      <w:pPr>
        <w:adjustRightInd w:val="0"/>
        <w:snapToGrid w:val="0"/>
        <w:spacing w:line="360" w:lineRule="auto"/>
        <w:ind w:firstLineChars="196" w:firstLine="549"/>
        <w:rPr>
          <w:sz w:val="28"/>
          <w:szCs w:val="28"/>
        </w:rPr>
      </w:pPr>
      <w:r>
        <w:rPr>
          <w:rFonts w:hint="eastAsia"/>
          <w:sz w:val="28"/>
          <w:szCs w:val="28"/>
        </w:rPr>
        <w:t>（</w:t>
      </w:r>
      <w:r>
        <w:rPr>
          <w:rFonts w:hint="eastAsia"/>
          <w:sz w:val="28"/>
          <w:szCs w:val="28"/>
        </w:rPr>
        <w:t>1</w:t>
      </w:r>
      <w:r>
        <w:rPr>
          <w:rFonts w:hint="eastAsia"/>
          <w:sz w:val="28"/>
          <w:szCs w:val="28"/>
        </w:rPr>
        <w:t>）《国务院办公厅关于印发“无废城市”建设试点工作方案的通知》（国办发</w:t>
      </w:r>
      <w:r>
        <w:rPr>
          <w:rFonts w:hint="eastAsia"/>
          <w:sz w:val="28"/>
          <w:szCs w:val="28"/>
        </w:rPr>
        <w:t>[</w:t>
      </w:r>
      <w:r>
        <w:rPr>
          <w:rFonts w:hint="eastAsia"/>
          <w:sz w:val="28"/>
          <w:szCs w:val="28"/>
        </w:rPr>
        <w:t>2018</w:t>
      </w:r>
      <w:r>
        <w:rPr>
          <w:rFonts w:hint="eastAsia"/>
          <w:sz w:val="28"/>
          <w:szCs w:val="28"/>
        </w:rPr>
        <w:t>]</w:t>
      </w:r>
      <w:r>
        <w:rPr>
          <w:rFonts w:hint="eastAsia"/>
          <w:sz w:val="28"/>
          <w:szCs w:val="28"/>
        </w:rPr>
        <w:t xml:space="preserve"> 128</w:t>
      </w:r>
      <w:r>
        <w:rPr>
          <w:rFonts w:hint="eastAsia"/>
          <w:sz w:val="28"/>
          <w:szCs w:val="28"/>
        </w:rPr>
        <w:t>号）</w:t>
      </w:r>
    </w:p>
    <w:p w:rsidR="005A1ADB" w:rsidRDefault="000B6ECF" w:rsidP="00033A19">
      <w:pPr>
        <w:adjustRightInd w:val="0"/>
        <w:snapToGrid w:val="0"/>
        <w:spacing w:line="360" w:lineRule="auto"/>
        <w:ind w:firstLineChars="196" w:firstLine="549"/>
        <w:rPr>
          <w:sz w:val="28"/>
          <w:szCs w:val="28"/>
        </w:rPr>
      </w:pPr>
      <w:r>
        <w:rPr>
          <w:rFonts w:hint="eastAsia"/>
          <w:sz w:val="28"/>
          <w:szCs w:val="28"/>
        </w:rPr>
        <w:t>（</w:t>
      </w:r>
      <w:r>
        <w:rPr>
          <w:rFonts w:hint="eastAsia"/>
          <w:sz w:val="28"/>
          <w:szCs w:val="28"/>
        </w:rPr>
        <w:t>2</w:t>
      </w:r>
      <w:r>
        <w:rPr>
          <w:rFonts w:hint="eastAsia"/>
          <w:sz w:val="28"/>
          <w:szCs w:val="28"/>
        </w:rPr>
        <w:t>）《中共中央国务院关于全面加强生态环境保护坚决打好污染防治攻坚战的意见》（中发</w:t>
      </w:r>
      <w:r>
        <w:rPr>
          <w:rFonts w:hint="eastAsia"/>
          <w:sz w:val="28"/>
          <w:szCs w:val="28"/>
        </w:rPr>
        <w:t xml:space="preserve"> </w:t>
      </w:r>
      <w:r>
        <w:rPr>
          <w:rFonts w:hint="eastAsia"/>
          <w:sz w:val="28"/>
          <w:szCs w:val="28"/>
        </w:rPr>
        <w:t>[</w:t>
      </w:r>
      <w:r>
        <w:rPr>
          <w:rFonts w:hint="eastAsia"/>
          <w:sz w:val="28"/>
          <w:szCs w:val="28"/>
        </w:rPr>
        <w:t>2018</w:t>
      </w:r>
      <w:r>
        <w:rPr>
          <w:rFonts w:hint="eastAsia"/>
          <w:sz w:val="28"/>
          <w:szCs w:val="28"/>
        </w:rPr>
        <w:t>]</w:t>
      </w:r>
      <w:r>
        <w:rPr>
          <w:rFonts w:hint="eastAsia"/>
          <w:sz w:val="28"/>
          <w:szCs w:val="28"/>
        </w:rPr>
        <w:t xml:space="preserve"> 17</w:t>
      </w:r>
      <w:r>
        <w:rPr>
          <w:rFonts w:hint="eastAsia"/>
          <w:sz w:val="28"/>
          <w:szCs w:val="28"/>
        </w:rPr>
        <w:t>号）</w:t>
      </w:r>
    </w:p>
    <w:p w:rsidR="005A1ADB" w:rsidRDefault="000B6ECF" w:rsidP="00033A19">
      <w:pPr>
        <w:adjustRightInd w:val="0"/>
        <w:snapToGrid w:val="0"/>
        <w:spacing w:line="360" w:lineRule="auto"/>
        <w:ind w:firstLineChars="196" w:firstLine="549"/>
        <w:rPr>
          <w:sz w:val="28"/>
          <w:szCs w:val="28"/>
        </w:rPr>
      </w:pPr>
      <w:r>
        <w:rPr>
          <w:rFonts w:hint="eastAsia"/>
          <w:sz w:val="28"/>
          <w:szCs w:val="28"/>
        </w:rPr>
        <w:t>（</w:t>
      </w:r>
      <w:r>
        <w:rPr>
          <w:rFonts w:hint="eastAsia"/>
          <w:sz w:val="28"/>
          <w:szCs w:val="28"/>
        </w:rPr>
        <w:t>3</w:t>
      </w:r>
      <w:r>
        <w:rPr>
          <w:rFonts w:hint="eastAsia"/>
          <w:sz w:val="28"/>
          <w:szCs w:val="28"/>
        </w:rPr>
        <w:t>）《国务院办公厅关于印发生产者责任延伸制度推行方案的通知》（国办发</w:t>
      </w:r>
      <w:r>
        <w:rPr>
          <w:rFonts w:hint="eastAsia"/>
          <w:sz w:val="28"/>
          <w:szCs w:val="28"/>
        </w:rPr>
        <w:t xml:space="preserve"> </w:t>
      </w:r>
      <w:r>
        <w:rPr>
          <w:rFonts w:hint="eastAsia"/>
          <w:sz w:val="28"/>
          <w:szCs w:val="28"/>
        </w:rPr>
        <w:t>[</w:t>
      </w:r>
      <w:r>
        <w:rPr>
          <w:rFonts w:hint="eastAsia"/>
          <w:sz w:val="28"/>
          <w:szCs w:val="28"/>
        </w:rPr>
        <w:t>2016</w:t>
      </w:r>
      <w:r>
        <w:rPr>
          <w:rFonts w:hint="eastAsia"/>
          <w:sz w:val="28"/>
          <w:szCs w:val="28"/>
        </w:rPr>
        <w:t>]</w:t>
      </w:r>
      <w:r>
        <w:rPr>
          <w:rFonts w:hint="eastAsia"/>
          <w:sz w:val="28"/>
          <w:szCs w:val="28"/>
        </w:rPr>
        <w:t xml:space="preserve"> 99</w:t>
      </w:r>
      <w:r>
        <w:rPr>
          <w:rFonts w:hint="eastAsia"/>
          <w:sz w:val="28"/>
          <w:szCs w:val="28"/>
        </w:rPr>
        <w:t>号）</w:t>
      </w:r>
    </w:p>
    <w:p w:rsidR="005A1ADB" w:rsidRDefault="000B6ECF" w:rsidP="00033A19">
      <w:pPr>
        <w:adjustRightInd w:val="0"/>
        <w:snapToGrid w:val="0"/>
        <w:spacing w:line="360" w:lineRule="auto"/>
        <w:ind w:firstLineChars="196" w:firstLine="549"/>
        <w:rPr>
          <w:sz w:val="28"/>
          <w:szCs w:val="28"/>
        </w:rPr>
      </w:pPr>
      <w:r>
        <w:rPr>
          <w:rFonts w:hint="eastAsia"/>
          <w:sz w:val="28"/>
          <w:szCs w:val="28"/>
        </w:rPr>
        <w:t>（</w:t>
      </w:r>
      <w:r>
        <w:rPr>
          <w:rFonts w:hint="eastAsia"/>
          <w:sz w:val="28"/>
          <w:szCs w:val="28"/>
        </w:rPr>
        <w:t>4</w:t>
      </w:r>
      <w:r>
        <w:rPr>
          <w:rFonts w:hint="eastAsia"/>
          <w:sz w:val="28"/>
          <w:szCs w:val="28"/>
        </w:rPr>
        <w:t>）《中共中央国务院关于印发</w:t>
      </w:r>
      <w:r>
        <w:rPr>
          <w:rFonts w:hint="eastAsia"/>
          <w:sz w:val="28"/>
          <w:szCs w:val="28"/>
        </w:rPr>
        <w:t>&lt;</w:t>
      </w:r>
      <w:r>
        <w:rPr>
          <w:rFonts w:hint="eastAsia"/>
          <w:sz w:val="28"/>
          <w:szCs w:val="28"/>
        </w:rPr>
        <w:t>生态文明体制改革总体方案</w:t>
      </w:r>
      <w:r>
        <w:rPr>
          <w:rFonts w:hint="eastAsia"/>
          <w:sz w:val="28"/>
          <w:szCs w:val="28"/>
        </w:rPr>
        <w:t xml:space="preserve">&gt; </w:t>
      </w:r>
      <w:r>
        <w:rPr>
          <w:rFonts w:hint="eastAsia"/>
          <w:sz w:val="28"/>
          <w:szCs w:val="28"/>
        </w:rPr>
        <w:t>的通知》（中发</w:t>
      </w:r>
      <w:r>
        <w:rPr>
          <w:rFonts w:hint="eastAsia"/>
          <w:sz w:val="28"/>
          <w:szCs w:val="28"/>
        </w:rPr>
        <w:t xml:space="preserve"> </w:t>
      </w:r>
      <w:r>
        <w:rPr>
          <w:rFonts w:hint="eastAsia"/>
          <w:sz w:val="28"/>
          <w:szCs w:val="28"/>
        </w:rPr>
        <w:t>[</w:t>
      </w:r>
      <w:r>
        <w:rPr>
          <w:rFonts w:hint="eastAsia"/>
          <w:sz w:val="28"/>
          <w:szCs w:val="28"/>
        </w:rPr>
        <w:t>2015</w:t>
      </w:r>
      <w:r>
        <w:rPr>
          <w:rFonts w:hint="eastAsia"/>
          <w:sz w:val="28"/>
          <w:szCs w:val="28"/>
        </w:rPr>
        <w:t>]</w:t>
      </w:r>
      <w:r>
        <w:rPr>
          <w:rFonts w:hint="eastAsia"/>
          <w:sz w:val="28"/>
          <w:szCs w:val="28"/>
        </w:rPr>
        <w:t xml:space="preserve"> 17</w:t>
      </w:r>
      <w:r>
        <w:rPr>
          <w:rFonts w:hint="eastAsia"/>
          <w:sz w:val="28"/>
          <w:szCs w:val="28"/>
        </w:rPr>
        <w:t>号）</w:t>
      </w:r>
    </w:p>
    <w:p w:rsidR="005A1ADB" w:rsidRDefault="000B6ECF" w:rsidP="00033A19">
      <w:pPr>
        <w:adjustRightInd w:val="0"/>
        <w:snapToGrid w:val="0"/>
        <w:spacing w:line="360" w:lineRule="auto"/>
        <w:ind w:firstLineChars="196" w:firstLine="549"/>
        <w:rPr>
          <w:sz w:val="28"/>
          <w:szCs w:val="28"/>
        </w:rPr>
      </w:pPr>
      <w:r>
        <w:rPr>
          <w:rFonts w:hint="eastAsia"/>
          <w:sz w:val="28"/>
          <w:szCs w:val="28"/>
        </w:rPr>
        <w:t>（</w:t>
      </w:r>
      <w:r>
        <w:rPr>
          <w:rFonts w:hint="eastAsia"/>
          <w:sz w:val="28"/>
          <w:szCs w:val="28"/>
        </w:rPr>
        <w:t>5</w:t>
      </w:r>
      <w:r>
        <w:rPr>
          <w:rFonts w:hint="eastAsia"/>
          <w:sz w:val="28"/>
          <w:szCs w:val="28"/>
        </w:rPr>
        <w:t>）《关于印发</w:t>
      </w:r>
      <w:r>
        <w:rPr>
          <w:rFonts w:hint="eastAsia"/>
          <w:sz w:val="28"/>
          <w:szCs w:val="28"/>
        </w:rPr>
        <w:t>&lt;</w:t>
      </w:r>
      <w:r>
        <w:rPr>
          <w:rFonts w:hint="eastAsia"/>
          <w:sz w:val="28"/>
          <w:szCs w:val="28"/>
        </w:rPr>
        <w:t>“无废城市”建设试点实施方案编制指南</w:t>
      </w:r>
      <w:r>
        <w:rPr>
          <w:rFonts w:hint="eastAsia"/>
          <w:sz w:val="28"/>
          <w:szCs w:val="28"/>
        </w:rPr>
        <w:t>&gt;</w:t>
      </w:r>
      <w:r>
        <w:rPr>
          <w:rFonts w:hint="eastAsia"/>
          <w:sz w:val="28"/>
          <w:szCs w:val="28"/>
        </w:rPr>
        <w:t>和</w:t>
      </w:r>
      <w:r>
        <w:rPr>
          <w:rFonts w:hint="eastAsia"/>
          <w:sz w:val="28"/>
          <w:szCs w:val="28"/>
        </w:rPr>
        <w:t>&lt;</w:t>
      </w:r>
      <w:r>
        <w:rPr>
          <w:rFonts w:hint="eastAsia"/>
          <w:sz w:val="28"/>
          <w:szCs w:val="28"/>
        </w:rPr>
        <w:t>“无废城市”建设指标体系》（环办函</w:t>
      </w:r>
      <w:r>
        <w:rPr>
          <w:rFonts w:hint="eastAsia"/>
          <w:sz w:val="28"/>
          <w:szCs w:val="28"/>
        </w:rPr>
        <w:t>[</w:t>
      </w:r>
      <w:r>
        <w:rPr>
          <w:rFonts w:hint="eastAsia"/>
          <w:sz w:val="28"/>
          <w:szCs w:val="28"/>
        </w:rPr>
        <w:t>2021</w:t>
      </w:r>
      <w:r>
        <w:rPr>
          <w:rFonts w:hint="eastAsia"/>
          <w:sz w:val="28"/>
          <w:szCs w:val="28"/>
        </w:rPr>
        <w:t>]</w:t>
      </w:r>
      <w:r>
        <w:rPr>
          <w:rFonts w:hint="eastAsia"/>
          <w:sz w:val="28"/>
          <w:szCs w:val="28"/>
        </w:rPr>
        <w:t>407</w:t>
      </w:r>
      <w:r>
        <w:rPr>
          <w:rFonts w:hint="eastAsia"/>
          <w:sz w:val="28"/>
          <w:szCs w:val="28"/>
        </w:rPr>
        <w:t>号）</w:t>
      </w:r>
    </w:p>
    <w:p w:rsidR="005A1ADB" w:rsidRDefault="000B6ECF" w:rsidP="00033A19">
      <w:pPr>
        <w:adjustRightInd w:val="0"/>
        <w:snapToGrid w:val="0"/>
        <w:spacing w:line="360" w:lineRule="auto"/>
        <w:ind w:firstLineChars="196" w:firstLine="549"/>
        <w:rPr>
          <w:sz w:val="28"/>
          <w:szCs w:val="28"/>
        </w:rPr>
      </w:pPr>
      <w:r>
        <w:rPr>
          <w:rFonts w:hint="eastAsia"/>
          <w:sz w:val="28"/>
          <w:szCs w:val="28"/>
        </w:rPr>
        <w:t>（</w:t>
      </w:r>
      <w:r>
        <w:rPr>
          <w:rFonts w:hint="eastAsia"/>
          <w:sz w:val="28"/>
          <w:szCs w:val="28"/>
        </w:rPr>
        <w:t>6</w:t>
      </w:r>
      <w:r>
        <w:rPr>
          <w:rFonts w:hint="eastAsia"/>
          <w:sz w:val="28"/>
          <w:szCs w:val="28"/>
        </w:rPr>
        <w:t>）《关于印发</w:t>
      </w:r>
      <w:r>
        <w:rPr>
          <w:rFonts w:hint="eastAsia"/>
          <w:sz w:val="28"/>
          <w:szCs w:val="28"/>
        </w:rPr>
        <w:t>&lt;</w:t>
      </w:r>
      <w:r>
        <w:rPr>
          <w:rFonts w:hint="eastAsia"/>
          <w:sz w:val="28"/>
          <w:szCs w:val="28"/>
        </w:rPr>
        <w:t>绿色发展指标体系</w:t>
      </w:r>
      <w:r>
        <w:rPr>
          <w:rFonts w:hint="eastAsia"/>
          <w:sz w:val="28"/>
          <w:szCs w:val="28"/>
        </w:rPr>
        <w:t>&gt;</w:t>
      </w:r>
      <w:r>
        <w:rPr>
          <w:rFonts w:hint="eastAsia"/>
          <w:sz w:val="28"/>
          <w:szCs w:val="28"/>
        </w:rPr>
        <w:t>、</w:t>
      </w:r>
      <w:r>
        <w:rPr>
          <w:rFonts w:hint="eastAsia"/>
          <w:sz w:val="28"/>
          <w:szCs w:val="28"/>
        </w:rPr>
        <w:t>&lt;</w:t>
      </w:r>
      <w:r>
        <w:rPr>
          <w:rFonts w:hint="eastAsia"/>
          <w:sz w:val="28"/>
          <w:szCs w:val="28"/>
        </w:rPr>
        <w:t>生态文明建设考核目标体系</w:t>
      </w:r>
      <w:r>
        <w:rPr>
          <w:rFonts w:hint="eastAsia"/>
          <w:sz w:val="28"/>
          <w:szCs w:val="28"/>
        </w:rPr>
        <w:t>&gt;</w:t>
      </w:r>
      <w:r>
        <w:rPr>
          <w:rFonts w:hint="eastAsia"/>
          <w:sz w:val="28"/>
          <w:szCs w:val="28"/>
        </w:rPr>
        <w:t>的通知》（发改环资</w:t>
      </w:r>
      <w:r>
        <w:rPr>
          <w:rFonts w:hint="eastAsia"/>
          <w:sz w:val="28"/>
          <w:szCs w:val="28"/>
        </w:rPr>
        <w:t xml:space="preserve"> </w:t>
      </w:r>
      <w:r>
        <w:rPr>
          <w:rFonts w:hint="eastAsia"/>
          <w:sz w:val="28"/>
          <w:szCs w:val="28"/>
        </w:rPr>
        <w:t>[</w:t>
      </w:r>
      <w:r>
        <w:rPr>
          <w:rFonts w:hint="eastAsia"/>
          <w:sz w:val="28"/>
          <w:szCs w:val="28"/>
        </w:rPr>
        <w:t>2016</w:t>
      </w:r>
      <w:r>
        <w:rPr>
          <w:rFonts w:hint="eastAsia"/>
          <w:sz w:val="28"/>
          <w:szCs w:val="28"/>
        </w:rPr>
        <w:t>]</w:t>
      </w:r>
      <w:r>
        <w:rPr>
          <w:rFonts w:hint="eastAsia"/>
          <w:sz w:val="28"/>
          <w:szCs w:val="28"/>
        </w:rPr>
        <w:t xml:space="preserve"> 2635</w:t>
      </w:r>
      <w:r>
        <w:rPr>
          <w:rFonts w:hint="eastAsia"/>
          <w:sz w:val="28"/>
          <w:szCs w:val="28"/>
        </w:rPr>
        <w:t>号）</w:t>
      </w:r>
    </w:p>
    <w:p w:rsidR="005A1ADB" w:rsidRDefault="000B6ECF">
      <w:pPr>
        <w:adjustRightInd w:val="0"/>
        <w:snapToGrid w:val="0"/>
        <w:spacing w:line="360" w:lineRule="auto"/>
        <w:rPr>
          <w:sz w:val="28"/>
          <w:szCs w:val="28"/>
        </w:rPr>
      </w:pPr>
      <w:r>
        <w:rPr>
          <w:rFonts w:hint="eastAsia"/>
          <w:sz w:val="28"/>
          <w:szCs w:val="28"/>
        </w:rPr>
        <w:lastRenderedPageBreak/>
        <w:t xml:space="preserve">   </w:t>
      </w:r>
      <w:r>
        <w:rPr>
          <w:rFonts w:hint="eastAsia"/>
          <w:sz w:val="28"/>
          <w:szCs w:val="28"/>
        </w:rPr>
        <w:t>（</w:t>
      </w:r>
      <w:r>
        <w:rPr>
          <w:rFonts w:hint="eastAsia"/>
          <w:sz w:val="28"/>
          <w:szCs w:val="28"/>
        </w:rPr>
        <w:t>7</w:t>
      </w:r>
      <w:r>
        <w:rPr>
          <w:rFonts w:hint="eastAsia"/>
          <w:sz w:val="28"/>
          <w:szCs w:val="28"/>
        </w:rPr>
        <w:t>）《住房和城乡建设部等部门关于在全国地级及以上城市全面开展生活垃圾分类工作的通知》（建城</w:t>
      </w:r>
      <w:r>
        <w:rPr>
          <w:rFonts w:hint="eastAsia"/>
          <w:sz w:val="28"/>
          <w:szCs w:val="28"/>
        </w:rPr>
        <w:t xml:space="preserve"> </w:t>
      </w:r>
      <w:r>
        <w:rPr>
          <w:rFonts w:hint="eastAsia"/>
          <w:sz w:val="28"/>
          <w:szCs w:val="28"/>
        </w:rPr>
        <w:t>[</w:t>
      </w:r>
      <w:r>
        <w:rPr>
          <w:rFonts w:hint="eastAsia"/>
          <w:sz w:val="28"/>
          <w:szCs w:val="28"/>
        </w:rPr>
        <w:t>2019</w:t>
      </w:r>
      <w:r>
        <w:rPr>
          <w:rFonts w:hint="eastAsia"/>
          <w:sz w:val="28"/>
          <w:szCs w:val="28"/>
        </w:rPr>
        <w:t>]</w:t>
      </w:r>
      <w:r>
        <w:rPr>
          <w:rFonts w:hint="eastAsia"/>
          <w:sz w:val="28"/>
          <w:szCs w:val="28"/>
        </w:rPr>
        <w:t xml:space="preserve"> 56</w:t>
      </w:r>
      <w:r>
        <w:rPr>
          <w:rFonts w:hint="eastAsia"/>
          <w:sz w:val="28"/>
          <w:szCs w:val="28"/>
        </w:rPr>
        <w:t>号）</w:t>
      </w:r>
    </w:p>
    <w:p w:rsidR="005A1ADB" w:rsidRDefault="000B6ECF">
      <w:pPr>
        <w:adjustRightInd w:val="0"/>
        <w:snapToGrid w:val="0"/>
        <w:spacing w:line="360" w:lineRule="auto"/>
        <w:rPr>
          <w:sz w:val="28"/>
          <w:szCs w:val="28"/>
        </w:rPr>
      </w:pPr>
      <w:r>
        <w:rPr>
          <w:rFonts w:hint="eastAsia"/>
          <w:sz w:val="28"/>
          <w:szCs w:val="28"/>
        </w:rPr>
        <w:t xml:space="preserve">   </w:t>
      </w:r>
      <w:r>
        <w:rPr>
          <w:rFonts w:hint="eastAsia"/>
          <w:sz w:val="28"/>
          <w:szCs w:val="28"/>
        </w:rPr>
        <w:t>（</w:t>
      </w:r>
      <w:r>
        <w:rPr>
          <w:rFonts w:hint="eastAsia"/>
          <w:sz w:val="28"/>
          <w:szCs w:val="28"/>
        </w:rPr>
        <w:t>8</w:t>
      </w:r>
      <w:r>
        <w:rPr>
          <w:rFonts w:hint="eastAsia"/>
          <w:sz w:val="28"/>
          <w:szCs w:val="28"/>
        </w:rPr>
        <w:t>）《住房和城乡建设部等部门印发关于进一步推进生活垃圾分</w:t>
      </w:r>
      <w:r>
        <w:rPr>
          <w:rFonts w:hint="eastAsia"/>
          <w:sz w:val="28"/>
          <w:szCs w:val="28"/>
        </w:rPr>
        <w:t xml:space="preserve"> </w:t>
      </w:r>
      <w:r>
        <w:rPr>
          <w:rFonts w:hint="eastAsia"/>
          <w:sz w:val="28"/>
          <w:szCs w:val="28"/>
        </w:rPr>
        <w:t>类工作的若干意见》（建</w:t>
      </w:r>
      <w:r>
        <w:rPr>
          <w:rFonts w:hint="eastAsia"/>
          <w:sz w:val="28"/>
          <w:szCs w:val="28"/>
        </w:rPr>
        <w:t>城〔</w:t>
      </w:r>
      <w:r>
        <w:rPr>
          <w:rFonts w:hint="eastAsia"/>
          <w:sz w:val="28"/>
          <w:szCs w:val="28"/>
        </w:rPr>
        <w:t>2020</w:t>
      </w:r>
      <w:r>
        <w:rPr>
          <w:rFonts w:hint="eastAsia"/>
          <w:sz w:val="28"/>
          <w:szCs w:val="28"/>
        </w:rPr>
        <w:t>〕</w:t>
      </w:r>
      <w:r>
        <w:rPr>
          <w:rFonts w:hint="eastAsia"/>
          <w:sz w:val="28"/>
          <w:szCs w:val="28"/>
        </w:rPr>
        <w:t xml:space="preserve">93 </w:t>
      </w:r>
      <w:r>
        <w:rPr>
          <w:rFonts w:hint="eastAsia"/>
          <w:sz w:val="28"/>
          <w:szCs w:val="28"/>
        </w:rPr>
        <w:t>号）</w:t>
      </w:r>
    </w:p>
    <w:p w:rsidR="005A1ADB" w:rsidRDefault="000B6ECF">
      <w:pPr>
        <w:adjustRightInd w:val="0"/>
        <w:snapToGrid w:val="0"/>
        <w:spacing w:line="360" w:lineRule="auto"/>
        <w:rPr>
          <w:sz w:val="28"/>
          <w:szCs w:val="28"/>
        </w:rPr>
      </w:pPr>
      <w:r>
        <w:rPr>
          <w:rFonts w:hint="eastAsia"/>
          <w:sz w:val="28"/>
          <w:szCs w:val="28"/>
        </w:rPr>
        <w:t xml:space="preserve">   </w:t>
      </w:r>
      <w:r>
        <w:rPr>
          <w:rFonts w:hint="eastAsia"/>
          <w:sz w:val="28"/>
          <w:szCs w:val="28"/>
        </w:rPr>
        <w:t>（</w:t>
      </w:r>
      <w:r>
        <w:rPr>
          <w:rFonts w:hint="eastAsia"/>
          <w:sz w:val="28"/>
          <w:szCs w:val="28"/>
        </w:rPr>
        <w:t>9</w:t>
      </w:r>
      <w:r>
        <w:rPr>
          <w:rFonts w:hint="eastAsia"/>
          <w:sz w:val="28"/>
          <w:szCs w:val="28"/>
        </w:rPr>
        <w:t>）《关于进一步规范医疗废物管理工作的通知》（国卫办医发</w:t>
      </w:r>
      <w:r>
        <w:rPr>
          <w:rFonts w:hint="eastAsia"/>
          <w:sz w:val="28"/>
          <w:szCs w:val="28"/>
        </w:rPr>
        <w:t>[</w:t>
      </w:r>
      <w:r>
        <w:rPr>
          <w:rFonts w:hint="eastAsia"/>
          <w:sz w:val="28"/>
          <w:szCs w:val="28"/>
        </w:rPr>
        <w:t>2017</w:t>
      </w:r>
      <w:r>
        <w:rPr>
          <w:rFonts w:hint="eastAsia"/>
          <w:sz w:val="28"/>
          <w:szCs w:val="28"/>
        </w:rPr>
        <w:t>]</w:t>
      </w:r>
      <w:r>
        <w:rPr>
          <w:rFonts w:hint="eastAsia"/>
          <w:sz w:val="28"/>
          <w:szCs w:val="28"/>
        </w:rPr>
        <w:t xml:space="preserve"> 32</w:t>
      </w:r>
      <w:r>
        <w:rPr>
          <w:rFonts w:hint="eastAsia"/>
          <w:sz w:val="28"/>
          <w:szCs w:val="28"/>
        </w:rPr>
        <w:t>号）</w:t>
      </w:r>
    </w:p>
    <w:p w:rsidR="005A1ADB" w:rsidRDefault="000B6ECF">
      <w:pPr>
        <w:adjustRightInd w:val="0"/>
        <w:snapToGrid w:val="0"/>
        <w:spacing w:line="360" w:lineRule="auto"/>
        <w:rPr>
          <w:sz w:val="28"/>
          <w:szCs w:val="28"/>
        </w:rPr>
      </w:pPr>
      <w:r>
        <w:rPr>
          <w:rFonts w:hint="eastAsia"/>
          <w:sz w:val="28"/>
          <w:szCs w:val="28"/>
        </w:rPr>
        <w:t xml:space="preserve">   </w:t>
      </w:r>
      <w:r>
        <w:rPr>
          <w:rFonts w:hint="eastAsia"/>
          <w:sz w:val="28"/>
          <w:szCs w:val="28"/>
        </w:rPr>
        <w:t>（</w:t>
      </w:r>
      <w:r>
        <w:rPr>
          <w:rFonts w:hint="eastAsia"/>
          <w:sz w:val="28"/>
          <w:szCs w:val="28"/>
        </w:rPr>
        <w:t>10</w:t>
      </w:r>
      <w:r>
        <w:rPr>
          <w:rFonts w:hint="eastAsia"/>
          <w:sz w:val="28"/>
          <w:szCs w:val="28"/>
        </w:rPr>
        <w:t>）《关于坚决遏制固体废物非法转移和倾倒进一步加强危险废物全过程监管的通知》（环办土壤函</w:t>
      </w:r>
      <w:r>
        <w:rPr>
          <w:rFonts w:hint="eastAsia"/>
          <w:sz w:val="28"/>
          <w:szCs w:val="28"/>
        </w:rPr>
        <w:t xml:space="preserve"> </w:t>
      </w:r>
      <w:r>
        <w:rPr>
          <w:rFonts w:hint="eastAsia"/>
          <w:sz w:val="28"/>
          <w:szCs w:val="28"/>
        </w:rPr>
        <w:t>[</w:t>
      </w:r>
      <w:r>
        <w:rPr>
          <w:rFonts w:hint="eastAsia"/>
          <w:sz w:val="28"/>
          <w:szCs w:val="28"/>
        </w:rPr>
        <w:t>2018</w:t>
      </w:r>
      <w:r>
        <w:rPr>
          <w:rFonts w:hint="eastAsia"/>
          <w:sz w:val="28"/>
          <w:szCs w:val="28"/>
        </w:rPr>
        <w:t>]</w:t>
      </w:r>
      <w:r>
        <w:rPr>
          <w:rFonts w:hint="eastAsia"/>
          <w:sz w:val="28"/>
          <w:szCs w:val="28"/>
        </w:rPr>
        <w:t xml:space="preserve"> 266 </w:t>
      </w:r>
      <w:r>
        <w:rPr>
          <w:rFonts w:hint="eastAsia"/>
          <w:sz w:val="28"/>
          <w:szCs w:val="28"/>
        </w:rPr>
        <w:t>号）</w:t>
      </w:r>
    </w:p>
    <w:p w:rsidR="005A1ADB" w:rsidRDefault="000B6ECF">
      <w:pPr>
        <w:adjustRightInd w:val="0"/>
        <w:snapToGrid w:val="0"/>
        <w:spacing w:line="360" w:lineRule="auto"/>
        <w:rPr>
          <w:sz w:val="28"/>
          <w:szCs w:val="28"/>
        </w:rPr>
      </w:pPr>
      <w:r>
        <w:rPr>
          <w:rFonts w:hint="eastAsia"/>
          <w:sz w:val="28"/>
          <w:szCs w:val="28"/>
        </w:rPr>
        <w:t xml:space="preserve">   </w:t>
      </w:r>
      <w:r>
        <w:rPr>
          <w:rFonts w:hint="eastAsia"/>
          <w:sz w:val="28"/>
          <w:szCs w:val="28"/>
        </w:rPr>
        <w:t>（</w:t>
      </w:r>
      <w:r>
        <w:rPr>
          <w:rFonts w:hint="eastAsia"/>
          <w:sz w:val="28"/>
          <w:szCs w:val="28"/>
        </w:rPr>
        <w:t>11</w:t>
      </w:r>
      <w:r>
        <w:rPr>
          <w:rFonts w:hint="eastAsia"/>
          <w:sz w:val="28"/>
          <w:szCs w:val="28"/>
        </w:rPr>
        <w:t>）《关于全面做好秸秆综合利用工作的通知》（农办科</w:t>
      </w:r>
      <w:r>
        <w:rPr>
          <w:rFonts w:hint="eastAsia"/>
          <w:sz w:val="28"/>
          <w:szCs w:val="28"/>
        </w:rPr>
        <w:t>[</w:t>
      </w:r>
      <w:r>
        <w:rPr>
          <w:rFonts w:hint="eastAsia"/>
          <w:sz w:val="28"/>
          <w:szCs w:val="28"/>
        </w:rPr>
        <w:t>2019</w:t>
      </w:r>
      <w:r>
        <w:rPr>
          <w:rFonts w:hint="eastAsia"/>
          <w:sz w:val="28"/>
          <w:szCs w:val="28"/>
        </w:rPr>
        <w:t>]</w:t>
      </w:r>
      <w:r>
        <w:rPr>
          <w:rFonts w:hint="eastAsia"/>
          <w:sz w:val="28"/>
          <w:szCs w:val="28"/>
        </w:rPr>
        <w:t>20</w:t>
      </w:r>
      <w:r>
        <w:rPr>
          <w:rFonts w:hint="eastAsia"/>
          <w:sz w:val="28"/>
          <w:szCs w:val="28"/>
        </w:rPr>
        <w:t>号）</w:t>
      </w:r>
    </w:p>
    <w:p w:rsidR="005A1ADB" w:rsidRDefault="000B6ECF">
      <w:pPr>
        <w:adjustRightInd w:val="0"/>
        <w:snapToGrid w:val="0"/>
        <w:spacing w:line="360" w:lineRule="auto"/>
        <w:rPr>
          <w:sz w:val="28"/>
          <w:szCs w:val="28"/>
        </w:rPr>
      </w:pPr>
      <w:r>
        <w:rPr>
          <w:rFonts w:hint="eastAsia"/>
          <w:sz w:val="28"/>
          <w:szCs w:val="28"/>
        </w:rPr>
        <w:t xml:space="preserve">   </w:t>
      </w:r>
      <w:r>
        <w:rPr>
          <w:rFonts w:hint="eastAsia"/>
          <w:sz w:val="28"/>
          <w:szCs w:val="28"/>
        </w:rPr>
        <w:t>（</w:t>
      </w:r>
      <w:r>
        <w:rPr>
          <w:rFonts w:hint="eastAsia"/>
          <w:sz w:val="28"/>
          <w:szCs w:val="28"/>
        </w:rPr>
        <w:t>12</w:t>
      </w:r>
      <w:r>
        <w:rPr>
          <w:rFonts w:hint="eastAsia"/>
          <w:sz w:val="28"/>
          <w:szCs w:val="28"/>
        </w:rPr>
        <w:t>）《关于推进资源循环利用基地建设的指导意见》（发改办环资</w:t>
      </w:r>
      <w:r>
        <w:rPr>
          <w:rFonts w:hint="eastAsia"/>
          <w:sz w:val="28"/>
          <w:szCs w:val="28"/>
        </w:rPr>
        <w:t>[</w:t>
      </w:r>
      <w:r>
        <w:rPr>
          <w:rFonts w:hint="eastAsia"/>
          <w:sz w:val="28"/>
          <w:szCs w:val="28"/>
        </w:rPr>
        <w:t>2017</w:t>
      </w:r>
      <w:r>
        <w:rPr>
          <w:rFonts w:hint="eastAsia"/>
          <w:sz w:val="28"/>
          <w:szCs w:val="28"/>
        </w:rPr>
        <w:t>]</w:t>
      </w:r>
      <w:r>
        <w:rPr>
          <w:rFonts w:hint="eastAsia"/>
          <w:sz w:val="28"/>
          <w:szCs w:val="28"/>
        </w:rPr>
        <w:t xml:space="preserve"> 1778</w:t>
      </w:r>
      <w:r>
        <w:rPr>
          <w:rFonts w:hint="eastAsia"/>
          <w:sz w:val="28"/>
          <w:szCs w:val="28"/>
        </w:rPr>
        <w:t>号）</w:t>
      </w:r>
    </w:p>
    <w:p w:rsidR="005A1ADB" w:rsidRDefault="000B6ECF">
      <w:pPr>
        <w:adjustRightInd w:val="0"/>
        <w:snapToGrid w:val="0"/>
        <w:spacing w:line="360" w:lineRule="auto"/>
        <w:rPr>
          <w:sz w:val="28"/>
          <w:szCs w:val="28"/>
        </w:rPr>
      </w:pPr>
      <w:r>
        <w:rPr>
          <w:rFonts w:hint="eastAsia"/>
          <w:sz w:val="28"/>
          <w:szCs w:val="28"/>
        </w:rPr>
        <w:t xml:space="preserve">   </w:t>
      </w:r>
      <w:r>
        <w:rPr>
          <w:rFonts w:hint="eastAsia"/>
          <w:sz w:val="28"/>
          <w:szCs w:val="28"/>
        </w:rPr>
        <w:t>（</w:t>
      </w:r>
      <w:r>
        <w:rPr>
          <w:rFonts w:hint="eastAsia"/>
          <w:sz w:val="28"/>
          <w:szCs w:val="28"/>
        </w:rPr>
        <w:t>13</w:t>
      </w:r>
      <w:r>
        <w:rPr>
          <w:rFonts w:hint="eastAsia"/>
          <w:sz w:val="28"/>
          <w:szCs w:val="28"/>
        </w:rPr>
        <w:t>）《关于开展秸秆气化清洁能源利用工程建设的指导意见》（发改办环资</w:t>
      </w:r>
      <w:r>
        <w:rPr>
          <w:rFonts w:hint="eastAsia"/>
          <w:sz w:val="28"/>
          <w:szCs w:val="28"/>
        </w:rPr>
        <w:t>[</w:t>
      </w:r>
      <w:r>
        <w:rPr>
          <w:rFonts w:hint="eastAsia"/>
          <w:sz w:val="28"/>
          <w:szCs w:val="28"/>
        </w:rPr>
        <w:t>2017</w:t>
      </w:r>
      <w:r>
        <w:rPr>
          <w:rFonts w:hint="eastAsia"/>
          <w:sz w:val="28"/>
          <w:szCs w:val="28"/>
        </w:rPr>
        <w:t>]</w:t>
      </w:r>
      <w:r>
        <w:rPr>
          <w:rFonts w:hint="eastAsia"/>
          <w:sz w:val="28"/>
          <w:szCs w:val="28"/>
        </w:rPr>
        <w:t xml:space="preserve"> 2</w:t>
      </w:r>
      <w:r>
        <w:rPr>
          <w:rFonts w:hint="eastAsia"/>
          <w:sz w:val="28"/>
          <w:szCs w:val="28"/>
        </w:rPr>
        <w:t>143</w:t>
      </w:r>
      <w:r>
        <w:rPr>
          <w:rFonts w:hint="eastAsia"/>
          <w:sz w:val="28"/>
          <w:szCs w:val="28"/>
        </w:rPr>
        <w:t>号）</w:t>
      </w:r>
    </w:p>
    <w:p w:rsidR="005A1ADB" w:rsidRDefault="000B6ECF">
      <w:pPr>
        <w:adjustRightInd w:val="0"/>
        <w:snapToGrid w:val="0"/>
        <w:spacing w:line="360" w:lineRule="auto"/>
        <w:rPr>
          <w:sz w:val="28"/>
          <w:szCs w:val="28"/>
        </w:rPr>
      </w:pPr>
      <w:r>
        <w:rPr>
          <w:rFonts w:hint="eastAsia"/>
          <w:sz w:val="28"/>
          <w:szCs w:val="28"/>
        </w:rPr>
        <w:t xml:space="preserve">   </w:t>
      </w:r>
      <w:r>
        <w:rPr>
          <w:rFonts w:hint="eastAsia"/>
          <w:sz w:val="28"/>
          <w:szCs w:val="28"/>
        </w:rPr>
        <w:t>（</w:t>
      </w:r>
      <w:r>
        <w:rPr>
          <w:rFonts w:hint="eastAsia"/>
          <w:sz w:val="28"/>
          <w:szCs w:val="28"/>
        </w:rPr>
        <w:t>14</w:t>
      </w:r>
      <w:r>
        <w:rPr>
          <w:rFonts w:hint="eastAsia"/>
          <w:sz w:val="28"/>
          <w:szCs w:val="28"/>
        </w:rPr>
        <w:t>）《关于创新和完善促进绿色发展价格机制的意见》（发改价格规</w:t>
      </w:r>
      <w:r>
        <w:rPr>
          <w:rFonts w:hint="eastAsia"/>
          <w:sz w:val="28"/>
          <w:szCs w:val="28"/>
        </w:rPr>
        <w:t>[</w:t>
      </w:r>
      <w:r>
        <w:rPr>
          <w:rFonts w:hint="eastAsia"/>
          <w:sz w:val="28"/>
          <w:szCs w:val="28"/>
        </w:rPr>
        <w:t>2018</w:t>
      </w:r>
      <w:r>
        <w:rPr>
          <w:rFonts w:hint="eastAsia"/>
          <w:sz w:val="28"/>
          <w:szCs w:val="28"/>
        </w:rPr>
        <w:t>]</w:t>
      </w:r>
      <w:r>
        <w:rPr>
          <w:rFonts w:hint="eastAsia"/>
          <w:sz w:val="28"/>
          <w:szCs w:val="28"/>
        </w:rPr>
        <w:t xml:space="preserve"> 943</w:t>
      </w:r>
      <w:r>
        <w:rPr>
          <w:rFonts w:hint="eastAsia"/>
          <w:sz w:val="28"/>
          <w:szCs w:val="28"/>
        </w:rPr>
        <w:t>号）</w:t>
      </w:r>
    </w:p>
    <w:p w:rsidR="005A1ADB" w:rsidRDefault="000B6ECF">
      <w:pPr>
        <w:adjustRightInd w:val="0"/>
        <w:snapToGrid w:val="0"/>
        <w:spacing w:line="360" w:lineRule="auto"/>
        <w:rPr>
          <w:sz w:val="28"/>
          <w:szCs w:val="28"/>
        </w:rPr>
      </w:pPr>
      <w:r>
        <w:rPr>
          <w:rFonts w:hint="eastAsia"/>
          <w:sz w:val="28"/>
          <w:szCs w:val="28"/>
        </w:rPr>
        <w:t xml:space="preserve">   </w:t>
      </w:r>
      <w:r>
        <w:rPr>
          <w:rFonts w:hint="eastAsia"/>
          <w:sz w:val="28"/>
          <w:szCs w:val="28"/>
        </w:rPr>
        <w:t>（</w:t>
      </w:r>
      <w:r>
        <w:rPr>
          <w:rFonts w:hint="eastAsia"/>
          <w:sz w:val="28"/>
          <w:szCs w:val="28"/>
        </w:rPr>
        <w:t>15</w:t>
      </w:r>
      <w:r>
        <w:rPr>
          <w:rFonts w:hint="eastAsia"/>
          <w:sz w:val="28"/>
          <w:szCs w:val="28"/>
        </w:rPr>
        <w:t>）《关于构建市场导向的绿色技术创新体系的指导意见》（发改环资</w:t>
      </w:r>
      <w:r>
        <w:rPr>
          <w:rFonts w:hint="eastAsia"/>
          <w:sz w:val="28"/>
          <w:szCs w:val="28"/>
        </w:rPr>
        <w:t>[</w:t>
      </w:r>
      <w:r>
        <w:rPr>
          <w:rFonts w:hint="eastAsia"/>
          <w:sz w:val="28"/>
          <w:szCs w:val="28"/>
        </w:rPr>
        <w:t>2019</w:t>
      </w:r>
      <w:r>
        <w:rPr>
          <w:rFonts w:hint="eastAsia"/>
          <w:sz w:val="28"/>
          <w:szCs w:val="28"/>
        </w:rPr>
        <w:t>]</w:t>
      </w:r>
      <w:r>
        <w:rPr>
          <w:rFonts w:hint="eastAsia"/>
          <w:sz w:val="28"/>
          <w:szCs w:val="28"/>
        </w:rPr>
        <w:t xml:space="preserve"> 689 </w:t>
      </w:r>
      <w:r>
        <w:rPr>
          <w:rFonts w:hint="eastAsia"/>
          <w:sz w:val="28"/>
          <w:szCs w:val="28"/>
        </w:rPr>
        <w:t>号）</w:t>
      </w:r>
    </w:p>
    <w:p w:rsidR="005A1ADB" w:rsidRDefault="000B6ECF">
      <w:pPr>
        <w:pStyle w:val="4"/>
      </w:pPr>
      <w:bookmarkStart w:id="13" w:name="_Toc41847184"/>
      <w:r>
        <w:rPr>
          <w:rFonts w:hint="eastAsia"/>
        </w:rPr>
        <w:t>1.1.3</w:t>
      </w:r>
      <w:r>
        <w:rPr>
          <w:rFonts w:hint="eastAsia"/>
        </w:rPr>
        <w:t>相关规划、实施方案</w:t>
      </w:r>
      <w:bookmarkEnd w:id="13"/>
    </w:p>
    <w:p w:rsidR="005A1ADB" w:rsidRDefault="000B6ECF">
      <w:pPr>
        <w:numPr>
          <w:ilvl w:val="0"/>
          <w:numId w:val="1"/>
        </w:numPr>
        <w:adjustRightInd w:val="0"/>
        <w:snapToGrid w:val="0"/>
        <w:spacing w:line="360" w:lineRule="auto"/>
        <w:ind w:firstLineChars="150" w:firstLine="420"/>
        <w:rPr>
          <w:sz w:val="28"/>
          <w:szCs w:val="28"/>
        </w:rPr>
      </w:pPr>
      <w:r>
        <w:rPr>
          <w:rFonts w:hint="eastAsia"/>
          <w:sz w:val="28"/>
          <w:szCs w:val="28"/>
        </w:rPr>
        <w:t>《长春市国民经济和社会发展第十四个五年规划纲要》</w:t>
      </w:r>
    </w:p>
    <w:p w:rsidR="005A1ADB" w:rsidRDefault="000B6ECF">
      <w:pPr>
        <w:numPr>
          <w:ilvl w:val="0"/>
          <w:numId w:val="1"/>
        </w:numPr>
        <w:adjustRightInd w:val="0"/>
        <w:snapToGrid w:val="0"/>
        <w:spacing w:line="360" w:lineRule="auto"/>
        <w:ind w:firstLineChars="150" w:firstLine="420"/>
        <w:rPr>
          <w:sz w:val="28"/>
          <w:szCs w:val="28"/>
        </w:rPr>
      </w:pPr>
      <w:r>
        <w:rPr>
          <w:rFonts w:hint="eastAsia"/>
          <w:sz w:val="28"/>
          <w:szCs w:val="28"/>
        </w:rPr>
        <w:t>《长春市“十四五”生态环境保护规划》</w:t>
      </w:r>
    </w:p>
    <w:p w:rsidR="005A1ADB" w:rsidRDefault="000B6ECF">
      <w:pPr>
        <w:tabs>
          <w:tab w:val="left" w:pos="1623"/>
        </w:tabs>
        <w:adjustRightInd w:val="0"/>
        <w:snapToGrid w:val="0"/>
        <w:spacing w:line="360" w:lineRule="auto"/>
        <w:ind w:firstLineChars="150" w:firstLine="420"/>
        <w:rPr>
          <w:sz w:val="28"/>
          <w:szCs w:val="28"/>
        </w:rPr>
      </w:pPr>
      <w:r>
        <w:rPr>
          <w:sz w:val="28"/>
          <w:szCs w:val="28"/>
        </w:rPr>
        <w:t>（</w:t>
      </w:r>
      <w:r>
        <w:rPr>
          <w:sz w:val="28"/>
          <w:szCs w:val="28"/>
        </w:rPr>
        <w:t>3</w:t>
      </w:r>
      <w:r>
        <w:rPr>
          <w:sz w:val="28"/>
          <w:szCs w:val="28"/>
        </w:rPr>
        <w:t>）</w:t>
      </w:r>
      <w:r>
        <w:rPr>
          <w:rFonts w:hint="eastAsia"/>
          <w:sz w:val="28"/>
          <w:szCs w:val="28"/>
        </w:rPr>
        <w:t>《长春市城市建设发展“十四五”规划》</w:t>
      </w:r>
    </w:p>
    <w:p w:rsidR="005A1ADB" w:rsidRDefault="000B6ECF">
      <w:pPr>
        <w:tabs>
          <w:tab w:val="left" w:pos="1623"/>
        </w:tabs>
        <w:adjustRightInd w:val="0"/>
        <w:snapToGrid w:val="0"/>
        <w:spacing w:line="360" w:lineRule="auto"/>
        <w:ind w:firstLineChars="150" w:firstLine="420"/>
        <w:rPr>
          <w:sz w:val="28"/>
          <w:szCs w:val="28"/>
        </w:rPr>
      </w:pPr>
      <w:r>
        <w:rPr>
          <w:rFonts w:hint="eastAsia"/>
          <w:sz w:val="28"/>
          <w:szCs w:val="28"/>
        </w:rPr>
        <w:t>（</w:t>
      </w:r>
      <w:r>
        <w:rPr>
          <w:rFonts w:hint="eastAsia"/>
          <w:sz w:val="28"/>
          <w:szCs w:val="28"/>
        </w:rPr>
        <w:t>4</w:t>
      </w:r>
      <w:r>
        <w:rPr>
          <w:rFonts w:hint="eastAsia"/>
          <w:sz w:val="28"/>
          <w:szCs w:val="28"/>
        </w:rPr>
        <w:t>）《长春市“十四五”产业体系规划》</w:t>
      </w:r>
    </w:p>
    <w:p w:rsidR="005A1ADB" w:rsidRDefault="000B6ECF">
      <w:pPr>
        <w:tabs>
          <w:tab w:val="left" w:pos="1623"/>
        </w:tabs>
        <w:adjustRightInd w:val="0"/>
        <w:snapToGrid w:val="0"/>
        <w:spacing w:line="360" w:lineRule="auto"/>
        <w:ind w:firstLineChars="150" w:firstLine="420"/>
        <w:rPr>
          <w:sz w:val="28"/>
          <w:szCs w:val="28"/>
        </w:rPr>
      </w:pPr>
      <w:r>
        <w:rPr>
          <w:sz w:val="28"/>
          <w:szCs w:val="28"/>
        </w:rPr>
        <w:t>（</w:t>
      </w:r>
      <w:r>
        <w:rPr>
          <w:sz w:val="28"/>
          <w:szCs w:val="28"/>
        </w:rPr>
        <w:t>5</w:t>
      </w:r>
      <w:r>
        <w:rPr>
          <w:sz w:val="28"/>
          <w:szCs w:val="28"/>
        </w:rPr>
        <w:t>）《</w:t>
      </w:r>
      <w:r>
        <w:rPr>
          <w:rFonts w:hint="eastAsia"/>
          <w:sz w:val="28"/>
          <w:szCs w:val="28"/>
        </w:rPr>
        <w:t>长春市“双碳”示范城发展规划》</w:t>
      </w:r>
    </w:p>
    <w:p w:rsidR="005A1ADB" w:rsidRDefault="000B6ECF">
      <w:pPr>
        <w:adjustRightInd w:val="0"/>
        <w:snapToGrid w:val="0"/>
        <w:spacing w:line="360" w:lineRule="auto"/>
        <w:ind w:firstLineChars="150" w:firstLine="420"/>
        <w:rPr>
          <w:sz w:val="28"/>
          <w:szCs w:val="28"/>
        </w:rPr>
      </w:pPr>
      <w:r>
        <w:rPr>
          <w:rFonts w:hint="eastAsia"/>
          <w:sz w:val="28"/>
          <w:szCs w:val="28"/>
        </w:rPr>
        <w:lastRenderedPageBreak/>
        <w:t>（</w:t>
      </w:r>
      <w:r>
        <w:rPr>
          <w:rFonts w:hint="eastAsia"/>
          <w:sz w:val="28"/>
          <w:szCs w:val="28"/>
        </w:rPr>
        <w:t>6</w:t>
      </w:r>
      <w:r>
        <w:rPr>
          <w:rFonts w:hint="eastAsia"/>
          <w:sz w:val="28"/>
          <w:szCs w:val="28"/>
        </w:rPr>
        <w:t>）《长春市城市建筑垃圾管理办法》（</w:t>
      </w:r>
      <w:r>
        <w:rPr>
          <w:rFonts w:hint="eastAsia"/>
          <w:sz w:val="28"/>
          <w:szCs w:val="28"/>
        </w:rPr>
        <w:t>2019</w:t>
      </w:r>
      <w:r>
        <w:rPr>
          <w:rFonts w:hint="eastAsia"/>
          <w:sz w:val="28"/>
          <w:szCs w:val="28"/>
        </w:rPr>
        <w:t>年）</w:t>
      </w:r>
    </w:p>
    <w:p w:rsidR="005A1ADB" w:rsidRDefault="000B6ECF">
      <w:pPr>
        <w:adjustRightInd w:val="0"/>
        <w:snapToGrid w:val="0"/>
        <w:spacing w:line="360" w:lineRule="auto"/>
        <w:ind w:firstLineChars="150" w:firstLine="420"/>
        <w:rPr>
          <w:sz w:val="28"/>
          <w:szCs w:val="28"/>
        </w:rPr>
      </w:pPr>
      <w:r>
        <w:rPr>
          <w:rFonts w:hint="eastAsia"/>
          <w:sz w:val="28"/>
          <w:szCs w:val="28"/>
        </w:rPr>
        <w:t>（</w:t>
      </w:r>
      <w:r>
        <w:rPr>
          <w:rFonts w:hint="eastAsia"/>
          <w:sz w:val="28"/>
          <w:szCs w:val="28"/>
        </w:rPr>
        <w:t>7</w:t>
      </w:r>
      <w:r>
        <w:rPr>
          <w:rFonts w:hint="eastAsia"/>
          <w:sz w:val="28"/>
          <w:szCs w:val="28"/>
        </w:rPr>
        <w:t>）《长春市生活垃圾分类管理条例》（</w:t>
      </w:r>
      <w:r>
        <w:rPr>
          <w:rFonts w:hint="eastAsia"/>
          <w:sz w:val="28"/>
          <w:szCs w:val="28"/>
        </w:rPr>
        <w:t>2018</w:t>
      </w:r>
      <w:r>
        <w:rPr>
          <w:rFonts w:hint="eastAsia"/>
          <w:sz w:val="28"/>
          <w:szCs w:val="28"/>
        </w:rPr>
        <w:t>年）</w:t>
      </w:r>
    </w:p>
    <w:p w:rsidR="005A1ADB" w:rsidRDefault="000B6ECF">
      <w:pPr>
        <w:adjustRightInd w:val="0"/>
        <w:snapToGrid w:val="0"/>
        <w:spacing w:line="360" w:lineRule="auto"/>
        <w:ind w:firstLineChars="150" w:firstLine="420"/>
        <w:rPr>
          <w:sz w:val="28"/>
          <w:szCs w:val="28"/>
        </w:rPr>
      </w:pPr>
      <w:r>
        <w:rPr>
          <w:rFonts w:hint="eastAsia"/>
          <w:sz w:val="28"/>
          <w:szCs w:val="28"/>
        </w:rPr>
        <w:t>（</w:t>
      </w:r>
      <w:r>
        <w:rPr>
          <w:rFonts w:hint="eastAsia"/>
          <w:sz w:val="28"/>
          <w:szCs w:val="28"/>
        </w:rPr>
        <w:t>8</w:t>
      </w:r>
      <w:r>
        <w:rPr>
          <w:rFonts w:hint="eastAsia"/>
          <w:sz w:val="28"/>
          <w:szCs w:val="28"/>
        </w:rPr>
        <w:t>）《长春市人民政府办公厅关于推进生活垃圾分类工作的实施意见》（长府办发</w:t>
      </w:r>
      <w:r>
        <w:rPr>
          <w:rFonts w:hint="eastAsia"/>
          <w:sz w:val="28"/>
          <w:szCs w:val="28"/>
        </w:rPr>
        <w:t>[2018]23</w:t>
      </w:r>
      <w:r>
        <w:rPr>
          <w:rFonts w:hint="eastAsia"/>
          <w:sz w:val="28"/>
          <w:szCs w:val="28"/>
        </w:rPr>
        <w:t>号）</w:t>
      </w:r>
    </w:p>
    <w:p w:rsidR="005A1ADB" w:rsidRDefault="000B6ECF">
      <w:pPr>
        <w:tabs>
          <w:tab w:val="left" w:pos="1623"/>
        </w:tabs>
        <w:adjustRightInd w:val="0"/>
        <w:snapToGrid w:val="0"/>
        <w:spacing w:line="360" w:lineRule="auto"/>
        <w:ind w:firstLineChars="150" w:firstLine="420"/>
        <w:rPr>
          <w:sz w:val="28"/>
          <w:szCs w:val="28"/>
        </w:rPr>
      </w:pPr>
      <w:r>
        <w:rPr>
          <w:rFonts w:hint="eastAsia"/>
          <w:sz w:val="28"/>
          <w:szCs w:val="28"/>
        </w:rPr>
        <w:t>（</w:t>
      </w:r>
      <w:r>
        <w:rPr>
          <w:rFonts w:hint="eastAsia"/>
          <w:sz w:val="28"/>
          <w:szCs w:val="28"/>
        </w:rPr>
        <w:t>9</w:t>
      </w:r>
      <w:r>
        <w:rPr>
          <w:rFonts w:hint="eastAsia"/>
          <w:sz w:val="28"/>
          <w:szCs w:val="28"/>
        </w:rPr>
        <w:t>）《长春市乡村振兴战</w:t>
      </w:r>
      <w:r>
        <w:rPr>
          <w:rFonts w:hint="eastAsia"/>
          <w:sz w:val="28"/>
          <w:szCs w:val="28"/>
        </w:rPr>
        <w:t>略</w:t>
      </w:r>
      <w:r>
        <w:rPr>
          <w:rFonts w:hint="eastAsia"/>
          <w:sz w:val="28"/>
          <w:szCs w:val="28"/>
        </w:rPr>
        <w:t>规划（</w:t>
      </w:r>
      <w:r>
        <w:rPr>
          <w:rFonts w:hint="eastAsia"/>
          <w:sz w:val="28"/>
          <w:szCs w:val="28"/>
        </w:rPr>
        <w:t>2018-2022</w:t>
      </w:r>
      <w:r>
        <w:rPr>
          <w:rFonts w:hint="eastAsia"/>
          <w:sz w:val="28"/>
          <w:szCs w:val="28"/>
        </w:rPr>
        <w:t>年）》</w:t>
      </w:r>
    </w:p>
    <w:p w:rsidR="005A1ADB" w:rsidRDefault="000B6ECF">
      <w:pPr>
        <w:adjustRightInd w:val="0"/>
        <w:snapToGrid w:val="0"/>
        <w:spacing w:line="360" w:lineRule="auto"/>
        <w:ind w:firstLineChars="150" w:firstLine="420"/>
        <w:rPr>
          <w:sz w:val="28"/>
          <w:szCs w:val="28"/>
        </w:rPr>
      </w:pPr>
      <w:r>
        <w:rPr>
          <w:rFonts w:hint="eastAsia"/>
          <w:sz w:val="28"/>
          <w:szCs w:val="28"/>
        </w:rPr>
        <w:t>（</w:t>
      </w:r>
      <w:r>
        <w:rPr>
          <w:rFonts w:hint="eastAsia"/>
          <w:sz w:val="28"/>
          <w:szCs w:val="28"/>
        </w:rPr>
        <w:t>10</w:t>
      </w:r>
      <w:r>
        <w:rPr>
          <w:rFonts w:hint="eastAsia"/>
          <w:sz w:val="28"/>
          <w:szCs w:val="28"/>
        </w:rPr>
        <w:t>）《长春市城市总体规划》（</w:t>
      </w:r>
      <w:r>
        <w:rPr>
          <w:rFonts w:hint="eastAsia"/>
          <w:sz w:val="28"/>
          <w:szCs w:val="28"/>
        </w:rPr>
        <w:t>2016</w:t>
      </w:r>
      <w:r>
        <w:rPr>
          <w:rFonts w:hint="eastAsia"/>
          <w:sz w:val="28"/>
          <w:szCs w:val="28"/>
        </w:rPr>
        <w:t>年版）</w:t>
      </w:r>
    </w:p>
    <w:p w:rsidR="005A1ADB" w:rsidRDefault="000B6ECF">
      <w:pPr>
        <w:tabs>
          <w:tab w:val="left" w:pos="6167"/>
        </w:tabs>
        <w:adjustRightInd w:val="0"/>
        <w:snapToGrid w:val="0"/>
        <w:spacing w:line="360" w:lineRule="auto"/>
        <w:ind w:firstLineChars="150" w:firstLine="420"/>
        <w:rPr>
          <w:sz w:val="28"/>
          <w:szCs w:val="28"/>
        </w:rPr>
      </w:pPr>
      <w:r>
        <w:rPr>
          <w:rFonts w:hint="eastAsia"/>
          <w:sz w:val="28"/>
          <w:szCs w:val="28"/>
        </w:rPr>
        <w:t>（</w:t>
      </w:r>
      <w:r>
        <w:rPr>
          <w:rFonts w:hint="eastAsia"/>
          <w:sz w:val="28"/>
          <w:szCs w:val="28"/>
        </w:rPr>
        <w:t>11</w:t>
      </w:r>
      <w:r>
        <w:rPr>
          <w:rFonts w:hint="eastAsia"/>
          <w:sz w:val="28"/>
          <w:szCs w:val="28"/>
        </w:rPr>
        <w:t>）《长春市再生资源回收利用管理办法》</w:t>
      </w:r>
    </w:p>
    <w:p w:rsidR="005A1ADB" w:rsidRDefault="000B6ECF">
      <w:pPr>
        <w:pStyle w:val="3"/>
        <w:rPr>
          <w:sz w:val="28"/>
        </w:rPr>
      </w:pPr>
      <w:bookmarkStart w:id="14" w:name="_Toc23223"/>
      <w:bookmarkStart w:id="15" w:name="_Toc104561685"/>
      <w:bookmarkStart w:id="16" w:name="_Toc111199980"/>
      <w:bookmarkStart w:id="17" w:name="_Toc14523"/>
      <w:bookmarkStart w:id="18" w:name="_Toc115079263"/>
      <w:r>
        <w:rPr>
          <w:rFonts w:hint="eastAsia"/>
          <w:sz w:val="28"/>
        </w:rPr>
        <w:t xml:space="preserve">1.2 </w:t>
      </w:r>
      <w:r>
        <w:rPr>
          <w:rFonts w:hint="eastAsia"/>
          <w:sz w:val="28"/>
        </w:rPr>
        <w:t>实施范围及时限</w:t>
      </w:r>
      <w:bookmarkEnd w:id="14"/>
      <w:bookmarkEnd w:id="15"/>
      <w:bookmarkEnd w:id="16"/>
      <w:bookmarkEnd w:id="17"/>
      <w:bookmarkEnd w:id="18"/>
    </w:p>
    <w:p w:rsidR="005A1ADB" w:rsidRDefault="000B6ECF" w:rsidP="00033A19">
      <w:pPr>
        <w:adjustRightInd w:val="0"/>
        <w:snapToGrid w:val="0"/>
        <w:spacing w:line="360" w:lineRule="auto"/>
        <w:ind w:firstLineChars="196" w:firstLine="549"/>
        <w:rPr>
          <w:sz w:val="28"/>
          <w:szCs w:val="28"/>
        </w:rPr>
      </w:pPr>
      <w:r>
        <w:rPr>
          <w:rFonts w:hint="eastAsia"/>
          <w:sz w:val="28"/>
          <w:szCs w:val="28"/>
        </w:rPr>
        <w:t>实施范围：长春市全域，含朝阳区、南关区、宽城区、二道区、绿园区、经开区、净月区、汽开区、长春新区、莲花山、九台区、双阳区、农安县、德惠市、榆树市、公主岭市，总面积</w:t>
      </w:r>
      <w:r>
        <w:rPr>
          <w:sz w:val="28"/>
          <w:szCs w:val="28"/>
        </w:rPr>
        <w:t>24734</w:t>
      </w:r>
      <w:r>
        <w:rPr>
          <w:rFonts w:hint="eastAsia"/>
          <w:sz w:val="28"/>
          <w:szCs w:val="28"/>
        </w:rPr>
        <w:t>平方公里。</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实施时限：</w:t>
      </w:r>
      <w:r>
        <w:rPr>
          <w:rFonts w:hint="eastAsia"/>
          <w:sz w:val="28"/>
          <w:szCs w:val="28"/>
        </w:rPr>
        <w:t xml:space="preserve"> 2022</w:t>
      </w:r>
      <w:r>
        <w:rPr>
          <w:rFonts w:hint="eastAsia"/>
          <w:sz w:val="28"/>
          <w:szCs w:val="28"/>
        </w:rPr>
        <w:t>年至</w:t>
      </w:r>
      <w:r>
        <w:rPr>
          <w:rFonts w:hint="eastAsia"/>
          <w:sz w:val="28"/>
          <w:szCs w:val="28"/>
        </w:rPr>
        <w:t>2025</w:t>
      </w:r>
      <w:r>
        <w:rPr>
          <w:rFonts w:hint="eastAsia"/>
          <w:sz w:val="28"/>
          <w:szCs w:val="28"/>
        </w:rPr>
        <w:t>年（基准年</w:t>
      </w:r>
      <w:r>
        <w:rPr>
          <w:rFonts w:hint="eastAsia"/>
          <w:sz w:val="28"/>
          <w:szCs w:val="28"/>
        </w:rPr>
        <w:t>2020</w:t>
      </w:r>
      <w:r>
        <w:rPr>
          <w:rFonts w:hint="eastAsia"/>
          <w:sz w:val="28"/>
          <w:szCs w:val="28"/>
        </w:rPr>
        <w:t>年）。</w:t>
      </w:r>
    </w:p>
    <w:p w:rsidR="005A1ADB" w:rsidRDefault="005A1ADB">
      <w:pPr>
        <w:sectPr w:rsidR="005A1ADB">
          <w:footerReference w:type="default" r:id="rId10"/>
          <w:pgSz w:w="11906" w:h="16838"/>
          <w:pgMar w:top="1440" w:right="1800" w:bottom="1440" w:left="1800" w:header="851" w:footer="992" w:gutter="0"/>
          <w:pgNumType w:start="1"/>
          <w:cols w:space="425"/>
          <w:docGrid w:type="lines" w:linePitch="312"/>
        </w:sectPr>
      </w:pPr>
    </w:p>
    <w:p w:rsidR="005A1ADB" w:rsidRDefault="000B6ECF">
      <w:pPr>
        <w:pStyle w:val="2"/>
        <w:rPr>
          <w:sz w:val="28"/>
        </w:rPr>
      </w:pPr>
      <w:bookmarkStart w:id="19" w:name="_Toc111199981"/>
      <w:bookmarkStart w:id="20" w:name="_Toc17629"/>
      <w:bookmarkStart w:id="21" w:name="_Toc20044"/>
      <w:bookmarkStart w:id="22" w:name="_Toc104561686"/>
      <w:bookmarkStart w:id="23" w:name="_Toc115079264"/>
      <w:r>
        <w:rPr>
          <w:rFonts w:hint="eastAsia"/>
          <w:sz w:val="28"/>
        </w:rPr>
        <w:lastRenderedPageBreak/>
        <w:t>二、城乡发展与固体废物管理概况</w:t>
      </w:r>
      <w:bookmarkEnd w:id="19"/>
      <w:bookmarkEnd w:id="20"/>
      <w:bookmarkEnd w:id="21"/>
      <w:bookmarkEnd w:id="22"/>
      <w:bookmarkEnd w:id="23"/>
    </w:p>
    <w:p w:rsidR="005A1ADB" w:rsidRDefault="000B6ECF">
      <w:pPr>
        <w:pStyle w:val="3"/>
        <w:rPr>
          <w:sz w:val="28"/>
        </w:rPr>
      </w:pPr>
      <w:bookmarkStart w:id="24" w:name="_Toc19738"/>
      <w:bookmarkStart w:id="25" w:name="_Toc104561687"/>
      <w:bookmarkStart w:id="26" w:name="_Toc111199982"/>
      <w:bookmarkStart w:id="27" w:name="_Toc15997"/>
      <w:bookmarkStart w:id="28" w:name="_Toc115079265"/>
      <w:r>
        <w:rPr>
          <w:rFonts w:hint="eastAsia"/>
          <w:sz w:val="28"/>
        </w:rPr>
        <w:t xml:space="preserve">2.1 </w:t>
      </w:r>
      <w:r>
        <w:rPr>
          <w:rFonts w:hint="eastAsia"/>
          <w:sz w:val="28"/>
        </w:rPr>
        <w:t>城市发展基本情况</w:t>
      </w:r>
      <w:bookmarkEnd w:id="24"/>
      <w:bookmarkEnd w:id="25"/>
      <w:bookmarkEnd w:id="26"/>
      <w:bookmarkEnd w:id="27"/>
      <w:bookmarkEnd w:id="28"/>
    </w:p>
    <w:p w:rsidR="005A1ADB" w:rsidRDefault="000B6ECF">
      <w:pPr>
        <w:pStyle w:val="4"/>
      </w:pPr>
      <w:r>
        <w:rPr>
          <w:rFonts w:hint="eastAsia"/>
        </w:rPr>
        <w:t>2.1.1</w:t>
      </w:r>
      <w:r>
        <w:rPr>
          <w:rFonts w:hint="eastAsia"/>
        </w:rPr>
        <w:t>城市基本情况</w:t>
      </w:r>
    </w:p>
    <w:p w:rsidR="005A1ADB" w:rsidRDefault="000B6ECF">
      <w:pPr>
        <w:adjustRightInd w:val="0"/>
        <w:snapToGrid w:val="0"/>
        <w:spacing w:line="360" w:lineRule="auto"/>
        <w:ind w:firstLineChars="200" w:firstLine="560"/>
        <w:rPr>
          <w:sz w:val="28"/>
          <w:szCs w:val="28"/>
        </w:rPr>
      </w:pPr>
      <w:r>
        <w:rPr>
          <w:rFonts w:hint="eastAsia"/>
          <w:sz w:val="28"/>
          <w:szCs w:val="28"/>
        </w:rPr>
        <w:t>长春市位于北纬</w:t>
      </w:r>
      <w:r>
        <w:rPr>
          <w:rFonts w:hint="eastAsia"/>
          <w:sz w:val="28"/>
          <w:szCs w:val="28"/>
        </w:rPr>
        <w:t>43</w:t>
      </w:r>
      <w:r>
        <w:rPr>
          <w:rFonts w:hint="eastAsia"/>
          <w:sz w:val="28"/>
          <w:szCs w:val="28"/>
        </w:rPr>
        <w:t>°</w:t>
      </w:r>
      <w:r>
        <w:rPr>
          <w:rFonts w:hint="eastAsia"/>
          <w:sz w:val="28"/>
          <w:szCs w:val="28"/>
        </w:rPr>
        <w:t>05</w:t>
      </w:r>
      <w:r>
        <w:rPr>
          <w:rFonts w:hint="eastAsia"/>
          <w:sz w:val="28"/>
          <w:szCs w:val="28"/>
        </w:rPr>
        <w:t>′～</w:t>
      </w:r>
      <w:r>
        <w:rPr>
          <w:rFonts w:hint="eastAsia"/>
          <w:sz w:val="28"/>
          <w:szCs w:val="28"/>
        </w:rPr>
        <w:t>45</w:t>
      </w:r>
      <w:r>
        <w:rPr>
          <w:rFonts w:hint="eastAsia"/>
          <w:sz w:val="28"/>
          <w:szCs w:val="28"/>
        </w:rPr>
        <w:t>°</w:t>
      </w:r>
      <w:r>
        <w:rPr>
          <w:rFonts w:hint="eastAsia"/>
          <w:sz w:val="28"/>
          <w:szCs w:val="28"/>
        </w:rPr>
        <w:t>15</w:t>
      </w:r>
      <w:r>
        <w:rPr>
          <w:rFonts w:hint="eastAsia"/>
          <w:sz w:val="28"/>
          <w:szCs w:val="28"/>
        </w:rPr>
        <w:t>′、东经</w:t>
      </w:r>
      <w:r>
        <w:rPr>
          <w:rFonts w:hint="eastAsia"/>
          <w:sz w:val="28"/>
          <w:szCs w:val="28"/>
        </w:rPr>
        <w:t>124</w:t>
      </w:r>
      <w:r>
        <w:rPr>
          <w:rFonts w:hint="eastAsia"/>
          <w:sz w:val="28"/>
          <w:szCs w:val="28"/>
        </w:rPr>
        <w:t>°</w:t>
      </w:r>
      <w:r>
        <w:rPr>
          <w:rFonts w:hint="eastAsia"/>
          <w:sz w:val="28"/>
          <w:szCs w:val="28"/>
        </w:rPr>
        <w:t>18</w:t>
      </w:r>
      <w:r>
        <w:rPr>
          <w:rFonts w:hint="eastAsia"/>
          <w:sz w:val="28"/>
          <w:szCs w:val="28"/>
        </w:rPr>
        <w:t>′～</w:t>
      </w:r>
      <w:r>
        <w:rPr>
          <w:rFonts w:hint="eastAsia"/>
          <w:sz w:val="28"/>
          <w:szCs w:val="28"/>
        </w:rPr>
        <w:t>127</w:t>
      </w:r>
      <w:r>
        <w:rPr>
          <w:rFonts w:hint="eastAsia"/>
          <w:sz w:val="28"/>
          <w:szCs w:val="28"/>
        </w:rPr>
        <w:t>°</w:t>
      </w:r>
      <w:r>
        <w:rPr>
          <w:rFonts w:hint="eastAsia"/>
          <w:sz w:val="28"/>
          <w:szCs w:val="28"/>
        </w:rPr>
        <w:t>05</w:t>
      </w:r>
      <w:r>
        <w:rPr>
          <w:rFonts w:hint="eastAsia"/>
          <w:sz w:val="28"/>
          <w:szCs w:val="28"/>
        </w:rPr>
        <w:t>′，居北半球中纬度北温带，地处中华人民共和国东北地区中部、京哈与珲乌两条交通线交会处，是吉林省的政治、经济、文化中心。长春市面积</w:t>
      </w:r>
      <w:r>
        <w:rPr>
          <w:rFonts w:hint="eastAsia"/>
          <w:sz w:val="28"/>
          <w:szCs w:val="28"/>
        </w:rPr>
        <w:t>24734</w:t>
      </w:r>
      <w:r>
        <w:rPr>
          <w:rFonts w:hint="eastAsia"/>
          <w:sz w:val="28"/>
          <w:szCs w:val="28"/>
        </w:rPr>
        <w:t>平方公里（含公主岭市），西北与松原市毗邻，西南和四平市相连，东南与吉林市相依，东北同黑龙江省接壤，其中主城区位于松辽平原腹地的伊通河台地之上。</w:t>
      </w:r>
    </w:p>
    <w:p w:rsidR="005A1ADB" w:rsidRDefault="000B6ECF">
      <w:pPr>
        <w:adjustRightInd w:val="0"/>
        <w:snapToGrid w:val="0"/>
        <w:spacing w:line="360" w:lineRule="auto"/>
        <w:ind w:firstLineChars="200" w:firstLine="560"/>
        <w:rPr>
          <w:sz w:val="28"/>
          <w:szCs w:val="28"/>
        </w:rPr>
      </w:pPr>
      <w:r>
        <w:rPr>
          <w:rFonts w:hint="eastAsia"/>
          <w:sz w:val="28"/>
          <w:szCs w:val="28"/>
        </w:rPr>
        <w:t>长春市地处吉林省东部低山丘陵向西部台地平原的过渡地带，总体呈现“一山四岗五分川”的地貌格局。东部为以长白山余脉大黑山为主的低山丘陵地区，中部地区为沿松花江、</w:t>
      </w:r>
      <w:r>
        <w:rPr>
          <w:rFonts w:hint="eastAsia"/>
          <w:sz w:val="28"/>
          <w:szCs w:val="28"/>
        </w:rPr>
        <w:t>伊通河等主要河流两岸形成的平坦冲积平原，西部为湿地草原区。地势东高西低、南高北低，相对高度和缓，海拔一般在</w:t>
      </w:r>
      <w:r>
        <w:rPr>
          <w:rFonts w:hint="eastAsia"/>
          <w:sz w:val="28"/>
          <w:szCs w:val="28"/>
        </w:rPr>
        <w:t>300</w:t>
      </w:r>
      <w:r>
        <w:rPr>
          <w:rFonts w:hint="eastAsia"/>
          <w:sz w:val="28"/>
          <w:szCs w:val="28"/>
        </w:rPr>
        <w:t>米上下，最高处为双阳区秃顶子山，海拔为</w:t>
      </w:r>
      <w:r>
        <w:rPr>
          <w:rFonts w:hint="eastAsia"/>
          <w:sz w:val="28"/>
          <w:szCs w:val="28"/>
        </w:rPr>
        <w:t>711</w:t>
      </w:r>
      <w:r>
        <w:rPr>
          <w:rFonts w:hint="eastAsia"/>
          <w:sz w:val="28"/>
          <w:szCs w:val="28"/>
        </w:rPr>
        <w:t>米。最低处为农安县靠山乡松花江沿岸，海拔仅</w:t>
      </w:r>
      <w:r>
        <w:rPr>
          <w:rFonts w:hint="eastAsia"/>
          <w:sz w:val="28"/>
          <w:szCs w:val="28"/>
        </w:rPr>
        <w:t>151</w:t>
      </w:r>
      <w:r>
        <w:rPr>
          <w:rFonts w:hint="eastAsia"/>
          <w:sz w:val="28"/>
          <w:szCs w:val="28"/>
        </w:rPr>
        <w:t>米，相对高度差为</w:t>
      </w:r>
      <w:r>
        <w:rPr>
          <w:rFonts w:hint="eastAsia"/>
          <w:sz w:val="28"/>
          <w:szCs w:val="28"/>
        </w:rPr>
        <w:t>560</w:t>
      </w:r>
      <w:r>
        <w:rPr>
          <w:rFonts w:hint="eastAsia"/>
          <w:sz w:val="28"/>
          <w:szCs w:val="28"/>
        </w:rPr>
        <w:t>米。地势东高西低、南高北低，相对高度和缓，坡度集中在</w:t>
      </w:r>
      <w:r>
        <w:rPr>
          <w:rFonts w:hint="eastAsia"/>
          <w:sz w:val="28"/>
          <w:szCs w:val="28"/>
        </w:rPr>
        <w:t>2</w:t>
      </w:r>
      <w:r>
        <w:rPr>
          <w:rFonts w:hint="eastAsia"/>
          <w:sz w:val="28"/>
          <w:szCs w:val="28"/>
        </w:rPr>
        <w:t>°</w:t>
      </w:r>
      <w:r>
        <w:rPr>
          <w:rFonts w:hint="eastAsia"/>
          <w:sz w:val="28"/>
          <w:szCs w:val="28"/>
        </w:rPr>
        <w:t>-15</w:t>
      </w:r>
      <w:r>
        <w:rPr>
          <w:rFonts w:hint="eastAsia"/>
          <w:sz w:val="28"/>
          <w:szCs w:val="28"/>
        </w:rPr>
        <w:t>°。从土地类别上看，耕地数量多，占全域国土总面积的</w:t>
      </w:r>
      <w:r>
        <w:rPr>
          <w:rFonts w:hint="eastAsia"/>
          <w:sz w:val="28"/>
          <w:szCs w:val="28"/>
        </w:rPr>
        <w:t>3/4</w:t>
      </w:r>
      <w:r>
        <w:rPr>
          <w:rFonts w:hint="eastAsia"/>
          <w:sz w:val="28"/>
          <w:szCs w:val="28"/>
        </w:rPr>
        <w:t>以上；土地质量好，是世界肥沃的四大黑土地带之一，自然生产力高。</w:t>
      </w:r>
    </w:p>
    <w:p w:rsidR="005A1ADB" w:rsidRDefault="000B6ECF">
      <w:pPr>
        <w:adjustRightInd w:val="0"/>
        <w:snapToGrid w:val="0"/>
        <w:spacing w:line="360" w:lineRule="auto"/>
        <w:ind w:firstLineChars="200" w:firstLine="560"/>
        <w:rPr>
          <w:sz w:val="28"/>
          <w:szCs w:val="28"/>
        </w:rPr>
      </w:pPr>
      <w:r>
        <w:rPr>
          <w:rFonts w:hint="eastAsia"/>
          <w:sz w:val="28"/>
          <w:szCs w:val="28"/>
        </w:rPr>
        <w:t>长春市属于温带大陆性半湿润季风气候，具有春季干旱多风、夏季温暖短促、秋季晴朗温差大、冬季严寒漫长的气候特</w:t>
      </w:r>
      <w:r>
        <w:rPr>
          <w:rFonts w:hint="eastAsia"/>
          <w:sz w:val="28"/>
          <w:szCs w:val="28"/>
        </w:rPr>
        <w:t>征。年平均气温</w:t>
      </w:r>
      <w:r>
        <w:rPr>
          <w:sz w:val="28"/>
          <w:szCs w:val="28"/>
        </w:rPr>
        <w:t>5.6°C</w:t>
      </w:r>
      <w:r>
        <w:rPr>
          <w:rFonts w:hint="eastAsia"/>
          <w:sz w:val="28"/>
          <w:szCs w:val="28"/>
        </w:rPr>
        <w:t>，近</w:t>
      </w:r>
      <w:r>
        <w:rPr>
          <w:sz w:val="28"/>
          <w:szCs w:val="28"/>
        </w:rPr>
        <w:t>30</w:t>
      </w:r>
      <w:r>
        <w:rPr>
          <w:rFonts w:hint="eastAsia"/>
          <w:sz w:val="28"/>
          <w:szCs w:val="28"/>
        </w:rPr>
        <w:t>年年均降水量为</w:t>
      </w:r>
      <w:r>
        <w:rPr>
          <w:sz w:val="28"/>
          <w:szCs w:val="28"/>
        </w:rPr>
        <w:t>456-690</w:t>
      </w:r>
      <w:r>
        <w:rPr>
          <w:rFonts w:hint="eastAsia"/>
          <w:sz w:val="28"/>
          <w:szCs w:val="28"/>
        </w:rPr>
        <w:t>毫米，呈现自东向西递减的趋势。长春市近</w:t>
      </w:r>
      <w:r>
        <w:rPr>
          <w:sz w:val="28"/>
          <w:szCs w:val="28"/>
        </w:rPr>
        <w:t>30</w:t>
      </w:r>
      <w:r>
        <w:rPr>
          <w:rFonts w:hint="eastAsia"/>
          <w:sz w:val="28"/>
          <w:szCs w:val="28"/>
        </w:rPr>
        <w:t>年活动积温在</w:t>
      </w:r>
      <w:r>
        <w:rPr>
          <w:sz w:val="28"/>
          <w:szCs w:val="28"/>
        </w:rPr>
        <w:t>3500</w:t>
      </w:r>
      <w:r>
        <w:rPr>
          <w:rFonts w:hint="eastAsia"/>
          <w:sz w:val="28"/>
          <w:szCs w:val="28"/>
        </w:rPr>
        <w:t>℃左右，农业生产上属于一年</w:t>
      </w:r>
      <w:r>
        <w:rPr>
          <w:rFonts w:hint="eastAsia"/>
          <w:sz w:val="28"/>
          <w:szCs w:val="28"/>
        </w:rPr>
        <w:lastRenderedPageBreak/>
        <w:t>一熟制，气象灾害发生频率较低。</w:t>
      </w:r>
    </w:p>
    <w:p w:rsidR="005A1ADB" w:rsidRDefault="000B6ECF">
      <w:pPr>
        <w:adjustRightInd w:val="0"/>
        <w:snapToGrid w:val="0"/>
        <w:spacing w:line="360" w:lineRule="auto"/>
        <w:ind w:firstLineChars="200" w:firstLine="560"/>
        <w:rPr>
          <w:sz w:val="28"/>
          <w:szCs w:val="28"/>
        </w:rPr>
      </w:pPr>
      <w:r>
        <w:rPr>
          <w:rFonts w:hint="eastAsia"/>
          <w:sz w:val="28"/>
          <w:szCs w:val="28"/>
        </w:rPr>
        <w:t>长春市境内水系主要由松花江水系和西北部闭流区组成，全市境内流域面积超过</w:t>
      </w:r>
      <w:r>
        <w:rPr>
          <w:rFonts w:hint="eastAsia"/>
          <w:sz w:val="28"/>
          <w:szCs w:val="28"/>
        </w:rPr>
        <w:t>1000</w:t>
      </w:r>
      <w:r>
        <w:rPr>
          <w:rFonts w:hint="eastAsia"/>
          <w:sz w:val="28"/>
          <w:szCs w:val="28"/>
        </w:rPr>
        <w:t>平方公里的河流有</w:t>
      </w:r>
      <w:r>
        <w:rPr>
          <w:rFonts w:hint="eastAsia"/>
          <w:sz w:val="28"/>
          <w:szCs w:val="28"/>
        </w:rPr>
        <w:t>9</w:t>
      </w:r>
      <w:r>
        <w:rPr>
          <w:rFonts w:hint="eastAsia"/>
          <w:sz w:val="28"/>
          <w:szCs w:val="28"/>
        </w:rPr>
        <w:t>条，河流密度为</w:t>
      </w:r>
      <w:r>
        <w:rPr>
          <w:rFonts w:hint="eastAsia"/>
          <w:sz w:val="28"/>
          <w:szCs w:val="28"/>
        </w:rPr>
        <w:t>1</w:t>
      </w:r>
      <w:r>
        <w:rPr>
          <w:rFonts w:hint="eastAsia"/>
          <w:sz w:val="28"/>
          <w:szCs w:val="28"/>
        </w:rPr>
        <w:t>条</w:t>
      </w:r>
      <w:r>
        <w:rPr>
          <w:rFonts w:hint="eastAsia"/>
          <w:sz w:val="28"/>
          <w:szCs w:val="28"/>
        </w:rPr>
        <w:t>/</w:t>
      </w:r>
      <w:r>
        <w:rPr>
          <w:rFonts w:hint="eastAsia"/>
          <w:sz w:val="28"/>
          <w:szCs w:val="28"/>
        </w:rPr>
        <w:t>百平方公里。主要支流有饮马河、伊通河、新凯河、小南河、沐石河、双阳河、雾开河等。主要河流洪水多集中于</w:t>
      </w:r>
      <w:r>
        <w:rPr>
          <w:rFonts w:hint="eastAsia"/>
          <w:sz w:val="28"/>
          <w:szCs w:val="28"/>
        </w:rPr>
        <w:t>7</w:t>
      </w:r>
      <w:r>
        <w:rPr>
          <w:rFonts w:hint="eastAsia"/>
          <w:sz w:val="28"/>
          <w:szCs w:val="28"/>
        </w:rPr>
        <w:t>-</w:t>
      </w:r>
      <w:r>
        <w:rPr>
          <w:rFonts w:hint="eastAsia"/>
          <w:sz w:val="28"/>
          <w:szCs w:val="28"/>
        </w:rPr>
        <w:t>8</w:t>
      </w:r>
      <w:r>
        <w:rPr>
          <w:rFonts w:hint="eastAsia"/>
          <w:sz w:val="28"/>
          <w:szCs w:val="28"/>
        </w:rPr>
        <w:t>月，历时长达</w:t>
      </w:r>
      <w:r>
        <w:rPr>
          <w:rFonts w:hint="eastAsia"/>
          <w:sz w:val="28"/>
          <w:szCs w:val="28"/>
        </w:rPr>
        <w:t>60</w:t>
      </w:r>
      <w:r>
        <w:rPr>
          <w:rFonts w:hint="eastAsia"/>
          <w:sz w:val="28"/>
          <w:szCs w:val="28"/>
        </w:rPr>
        <w:t>天左右。</w:t>
      </w:r>
    </w:p>
    <w:p w:rsidR="005A1ADB" w:rsidRDefault="000B6ECF">
      <w:pPr>
        <w:adjustRightInd w:val="0"/>
        <w:snapToGrid w:val="0"/>
        <w:spacing w:line="360" w:lineRule="auto"/>
        <w:ind w:firstLineChars="200" w:firstLine="560"/>
        <w:rPr>
          <w:sz w:val="28"/>
          <w:szCs w:val="28"/>
        </w:rPr>
      </w:pPr>
      <w:r>
        <w:rPr>
          <w:rFonts w:hint="eastAsia"/>
          <w:sz w:val="28"/>
          <w:szCs w:val="28"/>
        </w:rPr>
        <w:t>长春市本地水资源总量相对较低、时空分布不均。多年平均水资源总量</w:t>
      </w:r>
      <w:r>
        <w:rPr>
          <w:rFonts w:hint="eastAsia"/>
          <w:sz w:val="28"/>
          <w:szCs w:val="28"/>
        </w:rPr>
        <w:t>31.88</w:t>
      </w:r>
      <w:r>
        <w:rPr>
          <w:rFonts w:hint="eastAsia"/>
          <w:sz w:val="28"/>
          <w:szCs w:val="28"/>
        </w:rPr>
        <w:t>亿立方米，人</w:t>
      </w:r>
      <w:r>
        <w:rPr>
          <w:rFonts w:hint="eastAsia"/>
          <w:sz w:val="28"/>
          <w:szCs w:val="28"/>
        </w:rPr>
        <w:t>均拥有水资源量</w:t>
      </w:r>
      <w:r>
        <w:rPr>
          <w:rFonts w:hint="eastAsia"/>
          <w:sz w:val="28"/>
          <w:szCs w:val="28"/>
        </w:rPr>
        <w:t>356</w:t>
      </w:r>
      <w:r>
        <w:rPr>
          <w:rFonts w:hint="eastAsia"/>
          <w:sz w:val="28"/>
          <w:szCs w:val="28"/>
        </w:rPr>
        <w:t>立方米</w:t>
      </w:r>
      <w:r>
        <w:rPr>
          <w:rFonts w:hint="eastAsia"/>
          <w:sz w:val="28"/>
          <w:szCs w:val="28"/>
        </w:rPr>
        <w:t>/</w:t>
      </w:r>
      <w:r>
        <w:rPr>
          <w:rFonts w:hint="eastAsia"/>
          <w:sz w:val="28"/>
          <w:szCs w:val="28"/>
        </w:rPr>
        <w:t>人。年降水量由东南向西北方向逐渐减少，年内降水量分配不均。现状与在建城市引水工程规模</w:t>
      </w:r>
      <w:r>
        <w:rPr>
          <w:rFonts w:hint="eastAsia"/>
          <w:sz w:val="28"/>
          <w:szCs w:val="28"/>
        </w:rPr>
        <w:t>11.68</w:t>
      </w:r>
      <w:r>
        <w:rPr>
          <w:rFonts w:hint="eastAsia"/>
          <w:sz w:val="28"/>
          <w:szCs w:val="28"/>
        </w:rPr>
        <w:t>亿立方米</w:t>
      </w:r>
      <w:r>
        <w:rPr>
          <w:rFonts w:hint="eastAsia"/>
          <w:sz w:val="28"/>
          <w:szCs w:val="28"/>
        </w:rPr>
        <w:t>/</w:t>
      </w:r>
      <w:r>
        <w:rPr>
          <w:rFonts w:hint="eastAsia"/>
          <w:sz w:val="28"/>
          <w:szCs w:val="28"/>
        </w:rPr>
        <w:t>年，能够不断补充水资源供应。</w:t>
      </w:r>
    </w:p>
    <w:p w:rsidR="005A1ADB" w:rsidRDefault="000B6ECF">
      <w:pPr>
        <w:adjustRightInd w:val="0"/>
        <w:snapToGrid w:val="0"/>
        <w:spacing w:line="360" w:lineRule="auto"/>
        <w:ind w:firstLineChars="200" w:firstLine="560"/>
        <w:rPr>
          <w:sz w:val="28"/>
          <w:szCs w:val="28"/>
        </w:rPr>
      </w:pPr>
      <w:r>
        <w:rPr>
          <w:rFonts w:hint="eastAsia"/>
          <w:sz w:val="28"/>
          <w:szCs w:val="28"/>
        </w:rPr>
        <w:t>长春市矿产资源种类较丰富，目前已发现矿产</w:t>
      </w:r>
      <w:r>
        <w:rPr>
          <w:sz w:val="28"/>
          <w:szCs w:val="28"/>
        </w:rPr>
        <w:t>62</w:t>
      </w:r>
      <w:r>
        <w:rPr>
          <w:rFonts w:hint="eastAsia"/>
          <w:sz w:val="28"/>
          <w:szCs w:val="28"/>
        </w:rPr>
        <w:t>种，其中，查明资源储量矿产</w:t>
      </w:r>
      <w:r>
        <w:rPr>
          <w:sz w:val="28"/>
          <w:szCs w:val="28"/>
        </w:rPr>
        <w:t>34</w:t>
      </w:r>
      <w:r>
        <w:rPr>
          <w:rFonts w:hint="eastAsia"/>
          <w:sz w:val="28"/>
          <w:szCs w:val="28"/>
        </w:rPr>
        <w:t>种，已开发利用矿产</w:t>
      </w:r>
      <w:r>
        <w:rPr>
          <w:sz w:val="28"/>
          <w:szCs w:val="28"/>
        </w:rPr>
        <w:t>21</w:t>
      </w:r>
      <w:r>
        <w:rPr>
          <w:rFonts w:hint="eastAsia"/>
          <w:sz w:val="28"/>
          <w:szCs w:val="28"/>
        </w:rPr>
        <w:t>种。优势矿种包括煤炭、石灰石、沸石、膨润土、油页岩、陶粒页岩、二氧化碳气等，已探明的煤炭、油页岩、水泥用灰岩等储量居全省前列，其中二氧化碳气、珍珠岩是省内唯一，地热、油页岩资源潜在优势大。</w:t>
      </w:r>
    </w:p>
    <w:p w:rsidR="005A1ADB" w:rsidRDefault="000B6ECF">
      <w:pPr>
        <w:pStyle w:val="4"/>
      </w:pPr>
      <w:r>
        <w:rPr>
          <w:rFonts w:hint="eastAsia"/>
        </w:rPr>
        <w:t>2.1.2</w:t>
      </w:r>
      <w:r>
        <w:rPr>
          <w:rFonts w:hint="eastAsia"/>
        </w:rPr>
        <w:t>经济发展概况</w:t>
      </w:r>
    </w:p>
    <w:p w:rsidR="005A1ADB" w:rsidRDefault="000B6ECF">
      <w:pPr>
        <w:adjustRightInd w:val="0"/>
        <w:snapToGrid w:val="0"/>
        <w:spacing w:line="360" w:lineRule="auto"/>
        <w:ind w:firstLineChars="200" w:firstLine="560"/>
        <w:rPr>
          <w:sz w:val="28"/>
          <w:szCs w:val="28"/>
        </w:rPr>
      </w:pPr>
      <w:r>
        <w:rPr>
          <w:rFonts w:hint="eastAsia"/>
          <w:sz w:val="28"/>
          <w:szCs w:val="28"/>
        </w:rPr>
        <w:t>近年来，长春市经济社会发展成就显著，综合</w:t>
      </w:r>
      <w:r>
        <w:rPr>
          <w:rFonts w:hint="eastAsia"/>
          <w:sz w:val="28"/>
          <w:szCs w:val="28"/>
        </w:rPr>
        <w:t>实力大幅提升。</w:t>
      </w:r>
      <w:r>
        <w:rPr>
          <w:rFonts w:hint="eastAsia"/>
          <w:sz w:val="28"/>
          <w:szCs w:val="28"/>
        </w:rPr>
        <w:t>2020</w:t>
      </w:r>
      <w:r>
        <w:rPr>
          <w:rFonts w:hint="eastAsia"/>
          <w:sz w:val="28"/>
          <w:szCs w:val="28"/>
        </w:rPr>
        <w:t>年，全市实现地区生产总值</w:t>
      </w:r>
      <w:r>
        <w:rPr>
          <w:rFonts w:hint="eastAsia"/>
          <w:sz w:val="28"/>
          <w:szCs w:val="28"/>
        </w:rPr>
        <w:t>6638.03</w:t>
      </w:r>
      <w:r>
        <w:rPr>
          <w:rFonts w:hint="eastAsia"/>
          <w:sz w:val="28"/>
          <w:szCs w:val="28"/>
        </w:rPr>
        <w:t>亿元，按可比价格计算，比上年增长</w:t>
      </w:r>
      <w:r>
        <w:rPr>
          <w:rFonts w:hint="eastAsia"/>
          <w:sz w:val="28"/>
          <w:szCs w:val="28"/>
        </w:rPr>
        <w:t>3.6%</w:t>
      </w:r>
      <w:r>
        <w:rPr>
          <w:rFonts w:hint="eastAsia"/>
          <w:sz w:val="28"/>
          <w:szCs w:val="28"/>
        </w:rPr>
        <w:t>。其中，第一产业增加值</w:t>
      </w:r>
      <w:r>
        <w:rPr>
          <w:rFonts w:hint="eastAsia"/>
          <w:sz w:val="28"/>
          <w:szCs w:val="28"/>
        </w:rPr>
        <w:t>533.82</w:t>
      </w:r>
      <w:r>
        <w:rPr>
          <w:rFonts w:hint="eastAsia"/>
          <w:sz w:val="28"/>
          <w:szCs w:val="28"/>
        </w:rPr>
        <w:t>亿元，比上年下降</w:t>
      </w:r>
      <w:r>
        <w:rPr>
          <w:rFonts w:hint="eastAsia"/>
          <w:sz w:val="28"/>
          <w:szCs w:val="28"/>
        </w:rPr>
        <w:t>2.4%</w:t>
      </w:r>
      <w:r>
        <w:rPr>
          <w:rFonts w:hint="eastAsia"/>
          <w:sz w:val="28"/>
          <w:szCs w:val="28"/>
        </w:rPr>
        <w:t>；第二产业增加值</w:t>
      </w:r>
      <w:r>
        <w:rPr>
          <w:rFonts w:hint="eastAsia"/>
          <w:sz w:val="28"/>
          <w:szCs w:val="28"/>
        </w:rPr>
        <w:t>2758.12</w:t>
      </w:r>
      <w:r>
        <w:rPr>
          <w:rFonts w:hint="eastAsia"/>
          <w:sz w:val="28"/>
          <w:szCs w:val="28"/>
        </w:rPr>
        <w:t>亿元，增长</w:t>
      </w:r>
      <w:r>
        <w:rPr>
          <w:rFonts w:hint="eastAsia"/>
          <w:sz w:val="28"/>
          <w:szCs w:val="28"/>
        </w:rPr>
        <w:t>8.0%</w:t>
      </w:r>
      <w:r>
        <w:rPr>
          <w:rFonts w:hint="eastAsia"/>
          <w:sz w:val="28"/>
          <w:szCs w:val="28"/>
        </w:rPr>
        <w:t>；第三产业增加值</w:t>
      </w:r>
      <w:r>
        <w:rPr>
          <w:rFonts w:hint="eastAsia"/>
          <w:sz w:val="28"/>
          <w:szCs w:val="28"/>
        </w:rPr>
        <w:t>3346.09</w:t>
      </w:r>
      <w:r>
        <w:rPr>
          <w:rFonts w:hint="eastAsia"/>
          <w:sz w:val="28"/>
          <w:szCs w:val="28"/>
        </w:rPr>
        <w:t>亿元，增长</w:t>
      </w:r>
      <w:r>
        <w:rPr>
          <w:rFonts w:hint="eastAsia"/>
          <w:sz w:val="28"/>
          <w:szCs w:val="28"/>
        </w:rPr>
        <w:t>0.3%</w:t>
      </w:r>
      <w:r>
        <w:rPr>
          <w:rFonts w:hint="eastAsia"/>
          <w:sz w:val="28"/>
          <w:szCs w:val="28"/>
        </w:rPr>
        <w:t>。三次产业结构为</w:t>
      </w:r>
      <w:r>
        <w:rPr>
          <w:rFonts w:hint="eastAsia"/>
          <w:sz w:val="28"/>
          <w:szCs w:val="28"/>
        </w:rPr>
        <w:t>8.0:41.6:50.4</w:t>
      </w:r>
      <w:r>
        <w:rPr>
          <w:rFonts w:hint="eastAsia"/>
          <w:sz w:val="28"/>
          <w:szCs w:val="28"/>
        </w:rPr>
        <w:t>。人均地区生产总值达到</w:t>
      </w:r>
      <w:r>
        <w:rPr>
          <w:rFonts w:hint="eastAsia"/>
          <w:sz w:val="28"/>
          <w:szCs w:val="28"/>
        </w:rPr>
        <w:t>77634</w:t>
      </w:r>
      <w:r>
        <w:rPr>
          <w:rFonts w:hint="eastAsia"/>
          <w:sz w:val="28"/>
          <w:szCs w:val="28"/>
        </w:rPr>
        <w:t>元（按户籍年平均人口数计算），比上年增长</w:t>
      </w:r>
      <w:r>
        <w:rPr>
          <w:rFonts w:hint="eastAsia"/>
          <w:sz w:val="28"/>
          <w:szCs w:val="28"/>
        </w:rPr>
        <w:t>3.6%</w:t>
      </w:r>
      <w:r>
        <w:rPr>
          <w:rFonts w:hint="eastAsia"/>
          <w:sz w:val="28"/>
          <w:szCs w:val="28"/>
        </w:rPr>
        <w:t>，折合</w:t>
      </w:r>
      <w:r>
        <w:rPr>
          <w:rFonts w:hint="eastAsia"/>
          <w:sz w:val="28"/>
          <w:szCs w:val="28"/>
        </w:rPr>
        <w:t>11256</w:t>
      </w:r>
      <w:r>
        <w:rPr>
          <w:rFonts w:hint="eastAsia"/>
          <w:sz w:val="28"/>
          <w:szCs w:val="28"/>
        </w:rPr>
        <w:t>美元。其中，长春市</w:t>
      </w:r>
      <w:r>
        <w:rPr>
          <w:rFonts w:hint="eastAsia"/>
          <w:sz w:val="28"/>
          <w:szCs w:val="28"/>
        </w:rPr>
        <w:t>2020</w:t>
      </w:r>
      <w:r>
        <w:rPr>
          <w:rFonts w:hint="eastAsia"/>
          <w:sz w:val="28"/>
          <w:szCs w:val="28"/>
        </w:rPr>
        <w:t>年完成工业增加值</w:t>
      </w:r>
      <w:r>
        <w:rPr>
          <w:rFonts w:hint="eastAsia"/>
          <w:sz w:val="28"/>
          <w:szCs w:val="28"/>
        </w:rPr>
        <w:t>2327.6</w:t>
      </w:r>
      <w:r>
        <w:rPr>
          <w:rFonts w:hint="eastAsia"/>
          <w:sz w:val="28"/>
          <w:szCs w:val="28"/>
        </w:rPr>
        <w:t>亿元，规模以上工业累计完成增加值</w:t>
      </w:r>
      <w:r>
        <w:rPr>
          <w:rFonts w:hint="eastAsia"/>
          <w:sz w:val="28"/>
          <w:szCs w:val="28"/>
        </w:rPr>
        <w:t>1889</w:t>
      </w:r>
      <w:r>
        <w:rPr>
          <w:rFonts w:hint="eastAsia"/>
          <w:sz w:val="28"/>
          <w:szCs w:val="28"/>
        </w:rPr>
        <w:t>亿元，从轻重工业看，轻工业</w:t>
      </w:r>
      <w:r>
        <w:rPr>
          <w:rFonts w:hint="eastAsia"/>
          <w:sz w:val="28"/>
          <w:szCs w:val="28"/>
        </w:rPr>
        <w:t>完</w:t>
      </w:r>
      <w:r>
        <w:rPr>
          <w:rFonts w:hint="eastAsia"/>
          <w:sz w:val="28"/>
          <w:szCs w:val="28"/>
        </w:rPr>
        <w:lastRenderedPageBreak/>
        <w:t>成增加值</w:t>
      </w:r>
      <w:r>
        <w:rPr>
          <w:rFonts w:hint="eastAsia"/>
          <w:sz w:val="28"/>
          <w:szCs w:val="28"/>
        </w:rPr>
        <w:t>158.3</w:t>
      </w:r>
      <w:r>
        <w:rPr>
          <w:rFonts w:hint="eastAsia"/>
          <w:sz w:val="28"/>
          <w:szCs w:val="28"/>
        </w:rPr>
        <w:t>亿元，占全市比重为</w:t>
      </w:r>
      <w:r>
        <w:rPr>
          <w:rFonts w:hint="eastAsia"/>
          <w:sz w:val="28"/>
          <w:szCs w:val="28"/>
        </w:rPr>
        <w:t>8.4%</w:t>
      </w:r>
      <w:r>
        <w:rPr>
          <w:rFonts w:hint="eastAsia"/>
          <w:sz w:val="28"/>
          <w:szCs w:val="28"/>
        </w:rPr>
        <w:t>；重工业完成增加值</w:t>
      </w:r>
      <w:r>
        <w:rPr>
          <w:rFonts w:hint="eastAsia"/>
          <w:sz w:val="28"/>
          <w:szCs w:val="28"/>
        </w:rPr>
        <w:t>1730.7</w:t>
      </w:r>
      <w:r>
        <w:rPr>
          <w:rFonts w:hint="eastAsia"/>
          <w:sz w:val="28"/>
          <w:szCs w:val="28"/>
        </w:rPr>
        <w:t>亿元，占全市比重为</w:t>
      </w:r>
      <w:r>
        <w:rPr>
          <w:rFonts w:hint="eastAsia"/>
          <w:sz w:val="28"/>
          <w:szCs w:val="28"/>
        </w:rPr>
        <w:t>91.6%</w:t>
      </w:r>
      <w:r>
        <w:rPr>
          <w:rFonts w:hint="eastAsia"/>
          <w:sz w:val="28"/>
          <w:szCs w:val="28"/>
        </w:rPr>
        <w:t>。</w:t>
      </w:r>
    </w:p>
    <w:p w:rsidR="005A1ADB" w:rsidRDefault="000B6ECF">
      <w:pPr>
        <w:adjustRightInd w:val="0"/>
        <w:snapToGrid w:val="0"/>
        <w:spacing w:line="360" w:lineRule="auto"/>
        <w:ind w:firstLineChars="200" w:firstLine="560"/>
        <w:rPr>
          <w:sz w:val="28"/>
          <w:szCs w:val="28"/>
        </w:rPr>
      </w:pPr>
      <w:r>
        <w:rPr>
          <w:rFonts w:hint="eastAsia"/>
          <w:sz w:val="28"/>
          <w:szCs w:val="28"/>
        </w:rPr>
        <w:t>全市一般预算全口径财政收入</w:t>
      </w:r>
      <w:r>
        <w:rPr>
          <w:rFonts w:hint="eastAsia"/>
          <w:sz w:val="28"/>
          <w:szCs w:val="28"/>
        </w:rPr>
        <w:t>1129.5</w:t>
      </w:r>
      <w:r>
        <w:rPr>
          <w:rFonts w:hint="eastAsia"/>
          <w:sz w:val="28"/>
          <w:szCs w:val="28"/>
        </w:rPr>
        <w:t>亿元，增长</w:t>
      </w:r>
      <w:r>
        <w:rPr>
          <w:rFonts w:hint="eastAsia"/>
          <w:sz w:val="28"/>
          <w:szCs w:val="28"/>
        </w:rPr>
        <w:t>0.3%</w:t>
      </w:r>
      <w:r>
        <w:rPr>
          <w:rFonts w:hint="eastAsia"/>
          <w:sz w:val="28"/>
          <w:szCs w:val="28"/>
        </w:rPr>
        <w:t>。全市地方财政收入</w:t>
      </w:r>
      <w:r>
        <w:rPr>
          <w:rFonts w:hint="eastAsia"/>
          <w:sz w:val="28"/>
          <w:szCs w:val="28"/>
        </w:rPr>
        <w:t>440.4</w:t>
      </w:r>
      <w:r>
        <w:rPr>
          <w:rFonts w:hint="eastAsia"/>
          <w:sz w:val="28"/>
          <w:szCs w:val="28"/>
        </w:rPr>
        <w:t>亿元，增长</w:t>
      </w:r>
      <w:r>
        <w:rPr>
          <w:rFonts w:hint="eastAsia"/>
          <w:sz w:val="28"/>
          <w:szCs w:val="28"/>
        </w:rPr>
        <w:t>1.5%</w:t>
      </w:r>
      <w:r>
        <w:rPr>
          <w:rFonts w:hint="eastAsia"/>
          <w:sz w:val="28"/>
          <w:szCs w:val="28"/>
        </w:rPr>
        <w:t>，其中，税收收入</w:t>
      </w:r>
      <w:r>
        <w:rPr>
          <w:rFonts w:hint="eastAsia"/>
          <w:sz w:val="28"/>
          <w:szCs w:val="28"/>
        </w:rPr>
        <w:t>351.3</w:t>
      </w:r>
      <w:r>
        <w:rPr>
          <w:rFonts w:hint="eastAsia"/>
          <w:sz w:val="28"/>
          <w:szCs w:val="28"/>
        </w:rPr>
        <w:t>亿元，增长</w:t>
      </w:r>
      <w:r>
        <w:rPr>
          <w:rFonts w:hint="eastAsia"/>
          <w:sz w:val="28"/>
          <w:szCs w:val="28"/>
        </w:rPr>
        <w:t>2.1%</w:t>
      </w:r>
      <w:r>
        <w:rPr>
          <w:rFonts w:hint="eastAsia"/>
          <w:sz w:val="28"/>
          <w:szCs w:val="28"/>
        </w:rPr>
        <w:t>。地方财政支出</w:t>
      </w:r>
      <w:r>
        <w:rPr>
          <w:rFonts w:hint="eastAsia"/>
          <w:sz w:val="28"/>
          <w:szCs w:val="28"/>
        </w:rPr>
        <w:t>1084.1</w:t>
      </w:r>
      <w:r>
        <w:rPr>
          <w:rFonts w:hint="eastAsia"/>
          <w:sz w:val="28"/>
          <w:szCs w:val="28"/>
        </w:rPr>
        <w:t>亿元，增长</w:t>
      </w:r>
      <w:r>
        <w:rPr>
          <w:rFonts w:hint="eastAsia"/>
          <w:sz w:val="28"/>
          <w:szCs w:val="28"/>
        </w:rPr>
        <w:t>10.5%</w:t>
      </w:r>
      <w:r>
        <w:rPr>
          <w:rFonts w:hint="eastAsia"/>
          <w:sz w:val="28"/>
          <w:szCs w:val="28"/>
        </w:rPr>
        <w:t>，其中，社会保障和就业支出</w:t>
      </w:r>
      <w:r>
        <w:rPr>
          <w:rFonts w:hint="eastAsia"/>
          <w:sz w:val="28"/>
          <w:szCs w:val="28"/>
        </w:rPr>
        <w:t>153.9</w:t>
      </w:r>
      <w:r>
        <w:rPr>
          <w:rFonts w:hint="eastAsia"/>
          <w:sz w:val="28"/>
          <w:szCs w:val="28"/>
        </w:rPr>
        <w:t>亿元，增长</w:t>
      </w:r>
      <w:r>
        <w:rPr>
          <w:rFonts w:hint="eastAsia"/>
          <w:sz w:val="28"/>
          <w:szCs w:val="28"/>
        </w:rPr>
        <w:t>6.9%</w:t>
      </w:r>
      <w:r>
        <w:rPr>
          <w:rFonts w:hint="eastAsia"/>
          <w:sz w:val="28"/>
          <w:szCs w:val="28"/>
        </w:rPr>
        <w:t>；教育支出</w:t>
      </w:r>
      <w:r>
        <w:rPr>
          <w:rFonts w:hint="eastAsia"/>
          <w:sz w:val="28"/>
          <w:szCs w:val="28"/>
        </w:rPr>
        <w:t>152.3</w:t>
      </w:r>
      <w:r>
        <w:rPr>
          <w:rFonts w:hint="eastAsia"/>
          <w:sz w:val="28"/>
          <w:szCs w:val="28"/>
        </w:rPr>
        <w:t>亿元，增长</w:t>
      </w:r>
      <w:r>
        <w:rPr>
          <w:rFonts w:hint="eastAsia"/>
          <w:sz w:val="28"/>
          <w:szCs w:val="28"/>
        </w:rPr>
        <w:t>4.8%</w:t>
      </w:r>
      <w:r>
        <w:rPr>
          <w:rFonts w:hint="eastAsia"/>
          <w:sz w:val="28"/>
          <w:szCs w:val="28"/>
        </w:rPr>
        <w:t>；卫生健康支出</w:t>
      </w:r>
      <w:r>
        <w:rPr>
          <w:rFonts w:hint="eastAsia"/>
          <w:sz w:val="28"/>
          <w:szCs w:val="28"/>
        </w:rPr>
        <w:t>92.8</w:t>
      </w:r>
      <w:r>
        <w:rPr>
          <w:rFonts w:hint="eastAsia"/>
          <w:sz w:val="28"/>
          <w:szCs w:val="28"/>
        </w:rPr>
        <w:t>亿元，增长</w:t>
      </w:r>
      <w:r>
        <w:rPr>
          <w:rFonts w:hint="eastAsia"/>
          <w:sz w:val="28"/>
          <w:szCs w:val="28"/>
        </w:rPr>
        <w:t>16.1%</w:t>
      </w:r>
      <w:r>
        <w:rPr>
          <w:rFonts w:hint="eastAsia"/>
          <w:sz w:val="28"/>
          <w:szCs w:val="28"/>
        </w:rPr>
        <w:t>；交通运输支出</w:t>
      </w:r>
      <w:r>
        <w:rPr>
          <w:rFonts w:hint="eastAsia"/>
          <w:sz w:val="28"/>
          <w:szCs w:val="28"/>
        </w:rPr>
        <w:t>32.7</w:t>
      </w:r>
      <w:r>
        <w:rPr>
          <w:rFonts w:hint="eastAsia"/>
          <w:sz w:val="28"/>
          <w:szCs w:val="28"/>
        </w:rPr>
        <w:t>亿元，下降</w:t>
      </w:r>
      <w:r>
        <w:rPr>
          <w:rFonts w:hint="eastAsia"/>
          <w:sz w:val="28"/>
          <w:szCs w:val="28"/>
        </w:rPr>
        <w:t>9.2%</w:t>
      </w:r>
      <w:r>
        <w:rPr>
          <w:rFonts w:hint="eastAsia"/>
          <w:sz w:val="28"/>
          <w:szCs w:val="28"/>
        </w:rPr>
        <w:t>；农林水支出</w:t>
      </w:r>
      <w:r>
        <w:rPr>
          <w:rFonts w:hint="eastAsia"/>
          <w:sz w:val="28"/>
          <w:szCs w:val="28"/>
        </w:rPr>
        <w:t>131.6</w:t>
      </w:r>
      <w:r>
        <w:rPr>
          <w:rFonts w:hint="eastAsia"/>
          <w:sz w:val="28"/>
          <w:szCs w:val="28"/>
        </w:rPr>
        <w:t>亿元，增长</w:t>
      </w:r>
      <w:r>
        <w:rPr>
          <w:rFonts w:hint="eastAsia"/>
          <w:sz w:val="28"/>
          <w:szCs w:val="28"/>
        </w:rPr>
        <w:t>20.</w:t>
      </w:r>
      <w:r>
        <w:rPr>
          <w:rFonts w:hint="eastAsia"/>
          <w:sz w:val="28"/>
          <w:szCs w:val="28"/>
        </w:rPr>
        <w:t>6%</w:t>
      </w:r>
      <w:r>
        <w:rPr>
          <w:rFonts w:hint="eastAsia"/>
          <w:sz w:val="28"/>
          <w:szCs w:val="28"/>
        </w:rPr>
        <w:t>；住房保障支出</w:t>
      </w:r>
      <w:r>
        <w:rPr>
          <w:rFonts w:hint="eastAsia"/>
          <w:sz w:val="28"/>
          <w:szCs w:val="28"/>
        </w:rPr>
        <w:t>49.1</w:t>
      </w:r>
      <w:r>
        <w:rPr>
          <w:rFonts w:hint="eastAsia"/>
          <w:sz w:val="28"/>
          <w:szCs w:val="28"/>
        </w:rPr>
        <w:t>亿元，增长</w:t>
      </w:r>
      <w:r>
        <w:rPr>
          <w:rFonts w:hint="eastAsia"/>
          <w:sz w:val="28"/>
          <w:szCs w:val="28"/>
        </w:rPr>
        <w:t>37.3%</w:t>
      </w:r>
      <w:r>
        <w:rPr>
          <w:rFonts w:hint="eastAsia"/>
          <w:sz w:val="28"/>
          <w:szCs w:val="28"/>
        </w:rPr>
        <w:t>。</w:t>
      </w:r>
    </w:p>
    <w:p w:rsidR="005A1ADB" w:rsidRDefault="000B6ECF">
      <w:pPr>
        <w:pStyle w:val="4"/>
      </w:pPr>
      <w:r>
        <w:rPr>
          <w:rFonts w:hint="eastAsia"/>
        </w:rPr>
        <w:t>2.1.3</w:t>
      </w:r>
      <w:r>
        <w:rPr>
          <w:rFonts w:hint="eastAsia"/>
        </w:rPr>
        <w:t>社会发展概况</w:t>
      </w:r>
    </w:p>
    <w:p w:rsidR="005A1ADB" w:rsidRDefault="000B6ECF">
      <w:pPr>
        <w:adjustRightInd w:val="0"/>
        <w:snapToGrid w:val="0"/>
        <w:spacing w:line="360" w:lineRule="auto"/>
        <w:ind w:firstLineChars="200" w:firstLine="560"/>
        <w:rPr>
          <w:sz w:val="28"/>
          <w:szCs w:val="28"/>
        </w:rPr>
      </w:pPr>
      <w:r>
        <w:rPr>
          <w:rFonts w:hint="eastAsia"/>
          <w:sz w:val="28"/>
          <w:szCs w:val="28"/>
        </w:rPr>
        <w:t>在行政区划方面，长春市辖朝阳区、南关区、宽城区、二道区、绿园区、经开区、净月区、汽开区、长春新区、莲花山、九台区、双阳区、农安县、德惠市、榆树市、公主岭市。</w:t>
      </w:r>
      <w:r>
        <w:rPr>
          <w:sz w:val="28"/>
          <w:szCs w:val="28"/>
        </w:rPr>
        <w:t>2020</w:t>
      </w:r>
      <w:r>
        <w:rPr>
          <w:rFonts w:hint="eastAsia"/>
          <w:sz w:val="28"/>
          <w:szCs w:val="28"/>
        </w:rPr>
        <w:t>年末，全市户籍总人口为</w:t>
      </w:r>
      <w:r>
        <w:rPr>
          <w:rFonts w:hint="eastAsia"/>
          <w:sz w:val="28"/>
          <w:szCs w:val="28"/>
        </w:rPr>
        <w:t>853.4</w:t>
      </w:r>
      <w:r>
        <w:rPr>
          <w:rFonts w:hint="eastAsia"/>
          <w:sz w:val="28"/>
          <w:szCs w:val="28"/>
        </w:rPr>
        <w:t>万人。其中，市区人口</w:t>
      </w:r>
      <w:r>
        <w:rPr>
          <w:rFonts w:hint="eastAsia"/>
          <w:sz w:val="28"/>
          <w:szCs w:val="28"/>
        </w:rPr>
        <w:t>446.8</w:t>
      </w:r>
      <w:r>
        <w:rPr>
          <w:rFonts w:hint="eastAsia"/>
          <w:sz w:val="28"/>
          <w:szCs w:val="28"/>
        </w:rPr>
        <w:t>万人，四县（市）人口</w:t>
      </w:r>
      <w:r>
        <w:rPr>
          <w:rFonts w:hint="eastAsia"/>
          <w:sz w:val="28"/>
          <w:szCs w:val="28"/>
        </w:rPr>
        <w:t>406.6</w:t>
      </w:r>
      <w:r>
        <w:rPr>
          <w:rFonts w:hint="eastAsia"/>
          <w:sz w:val="28"/>
          <w:szCs w:val="28"/>
        </w:rPr>
        <w:t>万人。</w:t>
      </w:r>
    </w:p>
    <w:p w:rsidR="005A1ADB" w:rsidRDefault="000B6ECF">
      <w:pPr>
        <w:adjustRightInd w:val="0"/>
        <w:snapToGrid w:val="0"/>
        <w:spacing w:line="360" w:lineRule="auto"/>
        <w:ind w:firstLineChars="200" w:firstLine="560"/>
        <w:rPr>
          <w:sz w:val="28"/>
          <w:szCs w:val="28"/>
        </w:rPr>
      </w:pPr>
      <w:r>
        <w:rPr>
          <w:rFonts w:hint="eastAsia"/>
          <w:sz w:val="28"/>
          <w:szCs w:val="28"/>
        </w:rPr>
        <w:t>在人口和收入方面，全市人口出生率为</w:t>
      </w:r>
      <w:r>
        <w:rPr>
          <w:rFonts w:hint="eastAsia"/>
          <w:sz w:val="28"/>
          <w:szCs w:val="28"/>
        </w:rPr>
        <w:t>6.01</w:t>
      </w:r>
      <w:r>
        <w:rPr>
          <w:rFonts w:hint="eastAsia"/>
          <w:sz w:val="28"/>
          <w:szCs w:val="28"/>
        </w:rPr>
        <w:t>‰，死亡率</w:t>
      </w:r>
      <w:r>
        <w:rPr>
          <w:rFonts w:hint="eastAsia"/>
          <w:sz w:val="28"/>
          <w:szCs w:val="28"/>
        </w:rPr>
        <w:t>10.53</w:t>
      </w:r>
      <w:r>
        <w:rPr>
          <w:rFonts w:hint="eastAsia"/>
          <w:sz w:val="28"/>
          <w:szCs w:val="28"/>
        </w:rPr>
        <w:t>‰，自然增长率</w:t>
      </w:r>
      <w:r>
        <w:rPr>
          <w:rFonts w:hint="eastAsia"/>
          <w:sz w:val="28"/>
          <w:szCs w:val="28"/>
        </w:rPr>
        <w:t>-4.50</w:t>
      </w:r>
      <w:r>
        <w:rPr>
          <w:rFonts w:hint="eastAsia"/>
          <w:sz w:val="28"/>
          <w:szCs w:val="28"/>
        </w:rPr>
        <w:t>‰。全市城镇常住居民人均可支配收入达到</w:t>
      </w:r>
      <w:r>
        <w:rPr>
          <w:rFonts w:hint="eastAsia"/>
          <w:sz w:val="28"/>
          <w:szCs w:val="28"/>
        </w:rPr>
        <w:t>40001</w:t>
      </w:r>
      <w:r>
        <w:rPr>
          <w:rFonts w:hint="eastAsia"/>
          <w:sz w:val="28"/>
          <w:szCs w:val="28"/>
        </w:rPr>
        <w:t>元，农村常住居民人均可支配收入</w:t>
      </w:r>
      <w:r>
        <w:rPr>
          <w:rFonts w:hint="eastAsia"/>
          <w:sz w:val="28"/>
          <w:szCs w:val="28"/>
        </w:rPr>
        <w:t>16636</w:t>
      </w:r>
      <w:r>
        <w:rPr>
          <w:rFonts w:hint="eastAsia"/>
          <w:sz w:val="28"/>
          <w:szCs w:val="28"/>
        </w:rPr>
        <w:t>元。</w:t>
      </w:r>
    </w:p>
    <w:p w:rsidR="005A1ADB" w:rsidRDefault="000B6ECF">
      <w:pPr>
        <w:adjustRightInd w:val="0"/>
        <w:snapToGrid w:val="0"/>
        <w:spacing w:line="360" w:lineRule="auto"/>
        <w:ind w:firstLineChars="200" w:firstLine="560"/>
        <w:rPr>
          <w:sz w:val="28"/>
          <w:szCs w:val="28"/>
        </w:rPr>
      </w:pPr>
      <w:r>
        <w:rPr>
          <w:rFonts w:hint="eastAsia"/>
          <w:sz w:val="28"/>
          <w:szCs w:val="28"/>
        </w:rPr>
        <w:t>在教育方面，全市各类教育学校</w:t>
      </w:r>
      <w:r>
        <w:rPr>
          <w:rFonts w:hint="eastAsia"/>
          <w:sz w:val="28"/>
          <w:szCs w:val="28"/>
        </w:rPr>
        <w:t>1621</w:t>
      </w:r>
      <w:r>
        <w:rPr>
          <w:rFonts w:hint="eastAsia"/>
          <w:sz w:val="28"/>
          <w:szCs w:val="28"/>
        </w:rPr>
        <w:t>所（不含幼儿园），其中，普通高校</w:t>
      </w:r>
      <w:r>
        <w:rPr>
          <w:rFonts w:hint="eastAsia"/>
          <w:sz w:val="28"/>
          <w:szCs w:val="28"/>
        </w:rPr>
        <w:t>41</w:t>
      </w:r>
      <w:r>
        <w:rPr>
          <w:rFonts w:hint="eastAsia"/>
          <w:sz w:val="28"/>
          <w:szCs w:val="28"/>
        </w:rPr>
        <w:t>所，成人高校</w:t>
      </w:r>
      <w:r>
        <w:rPr>
          <w:rFonts w:hint="eastAsia"/>
          <w:sz w:val="28"/>
          <w:szCs w:val="28"/>
        </w:rPr>
        <w:t>8</w:t>
      </w:r>
      <w:r>
        <w:rPr>
          <w:rFonts w:hint="eastAsia"/>
          <w:sz w:val="28"/>
          <w:szCs w:val="28"/>
        </w:rPr>
        <w:t>所，中等职业学校</w:t>
      </w:r>
      <w:r>
        <w:rPr>
          <w:rFonts w:hint="eastAsia"/>
          <w:sz w:val="28"/>
          <w:szCs w:val="28"/>
        </w:rPr>
        <w:t>94</w:t>
      </w:r>
      <w:r>
        <w:rPr>
          <w:rFonts w:hint="eastAsia"/>
          <w:sz w:val="28"/>
          <w:szCs w:val="28"/>
        </w:rPr>
        <w:t>所，普通高中</w:t>
      </w:r>
      <w:r>
        <w:rPr>
          <w:rFonts w:hint="eastAsia"/>
          <w:sz w:val="28"/>
          <w:szCs w:val="28"/>
        </w:rPr>
        <w:t>73</w:t>
      </w:r>
      <w:r>
        <w:rPr>
          <w:rFonts w:hint="eastAsia"/>
          <w:sz w:val="28"/>
          <w:szCs w:val="28"/>
        </w:rPr>
        <w:t>所，初中学校</w:t>
      </w:r>
      <w:r>
        <w:rPr>
          <w:rFonts w:hint="eastAsia"/>
          <w:sz w:val="28"/>
          <w:szCs w:val="28"/>
        </w:rPr>
        <w:t>323</w:t>
      </w:r>
      <w:r>
        <w:rPr>
          <w:rFonts w:hint="eastAsia"/>
          <w:sz w:val="28"/>
          <w:szCs w:val="28"/>
        </w:rPr>
        <w:t>所，小学</w:t>
      </w:r>
      <w:r>
        <w:rPr>
          <w:rFonts w:hint="eastAsia"/>
          <w:sz w:val="28"/>
          <w:szCs w:val="28"/>
        </w:rPr>
        <w:t>1061</w:t>
      </w:r>
      <w:r>
        <w:rPr>
          <w:rFonts w:hint="eastAsia"/>
          <w:sz w:val="28"/>
          <w:szCs w:val="28"/>
        </w:rPr>
        <w:t>所，特殊教育学校</w:t>
      </w:r>
      <w:r>
        <w:rPr>
          <w:rFonts w:hint="eastAsia"/>
          <w:sz w:val="28"/>
          <w:szCs w:val="28"/>
        </w:rPr>
        <w:t>10</w:t>
      </w:r>
      <w:r>
        <w:rPr>
          <w:rFonts w:hint="eastAsia"/>
          <w:sz w:val="28"/>
          <w:szCs w:val="28"/>
        </w:rPr>
        <w:t>所，工读学校</w:t>
      </w:r>
      <w:r>
        <w:rPr>
          <w:rFonts w:hint="eastAsia"/>
          <w:sz w:val="28"/>
          <w:szCs w:val="28"/>
        </w:rPr>
        <w:t>1</w:t>
      </w:r>
      <w:r>
        <w:rPr>
          <w:rFonts w:hint="eastAsia"/>
          <w:sz w:val="28"/>
          <w:szCs w:val="28"/>
        </w:rPr>
        <w:t>所。全市各级各类学校在校学生</w:t>
      </w:r>
      <w:r>
        <w:rPr>
          <w:rFonts w:hint="eastAsia"/>
          <w:sz w:val="28"/>
          <w:szCs w:val="28"/>
        </w:rPr>
        <w:t>154.4</w:t>
      </w:r>
      <w:r>
        <w:rPr>
          <w:rFonts w:hint="eastAsia"/>
          <w:sz w:val="28"/>
          <w:szCs w:val="28"/>
        </w:rPr>
        <w:t>万人，其中，普通本专科生</w:t>
      </w:r>
      <w:r>
        <w:rPr>
          <w:rFonts w:hint="eastAsia"/>
          <w:sz w:val="28"/>
          <w:szCs w:val="28"/>
        </w:rPr>
        <w:t>48.3</w:t>
      </w:r>
      <w:r>
        <w:rPr>
          <w:rFonts w:hint="eastAsia"/>
          <w:sz w:val="28"/>
          <w:szCs w:val="28"/>
        </w:rPr>
        <w:t>万人，成人本专科生</w:t>
      </w:r>
      <w:r>
        <w:rPr>
          <w:rFonts w:hint="eastAsia"/>
          <w:sz w:val="28"/>
          <w:szCs w:val="28"/>
        </w:rPr>
        <w:t>9.6</w:t>
      </w:r>
      <w:r>
        <w:rPr>
          <w:rFonts w:hint="eastAsia"/>
          <w:sz w:val="28"/>
          <w:szCs w:val="28"/>
        </w:rPr>
        <w:t>万人，研究生</w:t>
      </w:r>
      <w:r>
        <w:rPr>
          <w:rFonts w:hint="eastAsia"/>
          <w:sz w:val="28"/>
          <w:szCs w:val="28"/>
        </w:rPr>
        <w:t>7.02</w:t>
      </w:r>
      <w:r>
        <w:rPr>
          <w:rFonts w:hint="eastAsia"/>
          <w:sz w:val="28"/>
          <w:szCs w:val="28"/>
        </w:rPr>
        <w:t>万人，中等职业教育</w:t>
      </w:r>
      <w:r>
        <w:rPr>
          <w:rFonts w:hint="eastAsia"/>
          <w:sz w:val="28"/>
          <w:szCs w:val="28"/>
        </w:rPr>
        <w:t>4.6</w:t>
      </w:r>
      <w:r>
        <w:rPr>
          <w:rFonts w:hint="eastAsia"/>
          <w:sz w:val="28"/>
          <w:szCs w:val="28"/>
        </w:rPr>
        <w:t>万人</w:t>
      </w:r>
      <w:r>
        <w:rPr>
          <w:rFonts w:hint="eastAsia"/>
          <w:sz w:val="28"/>
          <w:szCs w:val="28"/>
        </w:rPr>
        <w:t>，普通高中</w:t>
      </w:r>
      <w:r>
        <w:rPr>
          <w:rFonts w:hint="eastAsia"/>
          <w:sz w:val="28"/>
          <w:szCs w:val="28"/>
        </w:rPr>
        <w:t>15.0</w:t>
      </w:r>
      <w:r>
        <w:rPr>
          <w:rFonts w:hint="eastAsia"/>
          <w:sz w:val="28"/>
          <w:szCs w:val="28"/>
        </w:rPr>
        <w:t>万人，初中</w:t>
      </w:r>
      <w:r>
        <w:rPr>
          <w:rFonts w:hint="eastAsia"/>
          <w:sz w:val="28"/>
          <w:szCs w:val="28"/>
        </w:rPr>
        <w:t>23.1</w:t>
      </w:r>
      <w:r>
        <w:rPr>
          <w:rFonts w:hint="eastAsia"/>
          <w:sz w:val="28"/>
          <w:szCs w:val="28"/>
        </w:rPr>
        <w:t>万人，小学</w:t>
      </w:r>
      <w:r>
        <w:rPr>
          <w:rFonts w:hint="eastAsia"/>
          <w:sz w:val="28"/>
          <w:szCs w:val="28"/>
        </w:rPr>
        <w:t>46.5</w:t>
      </w:r>
      <w:r>
        <w:rPr>
          <w:rFonts w:hint="eastAsia"/>
          <w:sz w:val="28"/>
          <w:szCs w:val="28"/>
        </w:rPr>
        <w:t>万人，特</w:t>
      </w:r>
      <w:r>
        <w:rPr>
          <w:rFonts w:hint="eastAsia"/>
          <w:sz w:val="28"/>
          <w:szCs w:val="28"/>
        </w:rPr>
        <w:lastRenderedPageBreak/>
        <w:t>殊教育</w:t>
      </w:r>
      <w:r>
        <w:rPr>
          <w:rFonts w:hint="eastAsia"/>
          <w:sz w:val="28"/>
          <w:szCs w:val="28"/>
        </w:rPr>
        <w:t>0.14</w:t>
      </w:r>
      <w:r>
        <w:rPr>
          <w:rFonts w:hint="eastAsia"/>
          <w:sz w:val="28"/>
          <w:szCs w:val="28"/>
        </w:rPr>
        <w:t>万人，工读</w:t>
      </w:r>
      <w:r>
        <w:rPr>
          <w:rFonts w:hint="eastAsia"/>
          <w:sz w:val="28"/>
          <w:szCs w:val="28"/>
        </w:rPr>
        <w:t>35</w:t>
      </w:r>
      <w:r>
        <w:rPr>
          <w:rFonts w:hint="eastAsia"/>
          <w:sz w:val="28"/>
          <w:szCs w:val="28"/>
        </w:rPr>
        <w:t>人。全市各级各类学校在校教职工</w:t>
      </w:r>
      <w:r>
        <w:rPr>
          <w:rFonts w:hint="eastAsia"/>
          <w:sz w:val="28"/>
          <w:szCs w:val="28"/>
        </w:rPr>
        <w:t>13.4</w:t>
      </w:r>
      <w:r>
        <w:rPr>
          <w:rFonts w:hint="eastAsia"/>
          <w:sz w:val="28"/>
          <w:szCs w:val="28"/>
        </w:rPr>
        <w:t>万人。其中，普通高校</w:t>
      </w:r>
      <w:r>
        <w:rPr>
          <w:rFonts w:hint="eastAsia"/>
          <w:sz w:val="28"/>
          <w:szCs w:val="28"/>
        </w:rPr>
        <w:t>4.4</w:t>
      </w:r>
      <w:r>
        <w:rPr>
          <w:rFonts w:hint="eastAsia"/>
          <w:sz w:val="28"/>
          <w:szCs w:val="28"/>
        </w:rPr>
        <w:t>万人，成人高校</w:t>
      </w:r>
      <w:r>
        <w:rPr>
          <w:rFonts w:hint="eastAsia"/>
          <w:sz w:val="28"/>
          <w:szCs w:val="28"/>
        </w:rPr>
        <w:t>0.14</w:t>
      </w:r>
      <w:r>
        <w:rPr>
          <w:rFonts w:hint="eastAsia"/>
          <w:sz w:val="28"/>
          <w:szCs w:val="28"/>
        </w:rPr>
        <w:t>万人，中等职业</w:t>
      </w:r>
      <w:r>
        <w:rPr>
          <w:rFonts w:hint="eastAsia"/>
          <w:sz w:val="28"/>
          <w:szCs w:val="28"/>
        </w:rPr>
        <w:t>0.5</w:t>
      </w:r>
      <w:r>
        <w:rPr>
          <w:rFonts w:hint="eastAsia"/>
          <w:sz w:val="28"/>
          <w:szCs w:val="28"/>
        </w:rPr>
        <w:t>万人，普通高中</w:t>
      </w:r>
      <w:r>
        <w:rPr>
          <w:rFonts w:hint="eastAsia"/>
          <w:sz w:val="28"/>
          <w:szCs w:val="28"/>
        </w:rPr>
        <w:t>1.7</w:t>
      </w:r>
      <w:r>
        <w:rPr>
          <w:rFonts w:hint="eastAsia"/>
          <w:sz w:val="28"/>
          <w:szCs w:val="28"/>
        </w:rPr>
        <w:t>万人，普通初中</w:t>
      </w:r>
      <w:r>
        <w:rPr>
          <w:rFonts w:hint="eastAsia"/>
          <w:sz w:val="28"/>
          <w:szCs w:val="28"/>
        </w:rPr>
        <w:t>3.3</w:t>
      </w:r>
      <w:r>
        <w:rPr>
          <w:rFonts w:hint="eastAsia"/>
          <w:sz w:val="28"/>
          <w:szCs w:val="28"/>
        </w:rPr>
        <w:t>万人，小学</w:t>
      </w:r>
      <w:r>
        <w:rPr>
          <w:rFonts w:hint="eastAsia"/>
          <w:sz w:val="28"/>
          <w:szCs w:val="28"/>
        </w:rPr>
        <w:t>3.4</w:t>
      </w:r>
      <w:r>
        <w:rPr>
          <w:rFonts w:hint="eastAsia"/>
          <w:sz w:val="28"/>
          <w:szCs w:val="28"/>
        </w:rPr>
        <w:t>万人，特殊教育人</w:t>
      </w:r>
      <w:r>
        <w:rPr>
          <w:rFonts w:hint="eastAsia"/>
          <w:sz w:val="28"/>
          <w:szCs w:val="28"/>
        </w:rPr>
        <w:t>0.047</w:t>
      </w:r>
      <w:r>
        <w:rPr>
          <w:rFonts w:hint="eastAsia"/>
          <w:sz w:val="28"/>
          <w:szCs w:val="28"/>
        </w:rPr>
        <w:t>万人，工读</w:t>
      </w:r>
      <w:r>
        <w:rPr>
          <w:rFonts w:hint="eastAsia"/>
          <w:sz w:val="28"/>
          <w:szCs w:val="28"/>
        </w:rPr>
        <w:t>41</w:t>
      </w:r>
      <w:r>
        <w:rPr>
          <w:rFonts w:hint="eastAsia"/>
          <w:sz w:val="28"/>
          <w:szCs w:val="28"/>
        </w:rPr>
        <w:t>人。全市举办学前教育机构</w:t>
      </w:r>
      <w:r>
        <w:rPr>
          <w:rFonts w:hint="eastAsia"/>
          <w:sz w:val="28"/>
          <w:szCs w:val="28"/>
        </w:rPr>
        <w:t>1216</w:t>
      </w:r>
      <w:r>
        <w:rPr>
          <w:rFonts w:hint="eastAsia"/>
          <w:sz w:val="28"/>
          <w:szCs w:val="28"/>
        </w:rPr>
        <w:t>个，其中，独立设置幼儿园</w:t>
      </w:r>
      <w:r>
        <w:rPr>
          <w:rFonts w:hint="eastAsia"/>
          <w:sz w:val="28"/>
          <w:szCs w:val="28"/>
        </w:rPr>
        <w:t>893</w:t>
      </w:r>
      <w:r>
        <w:rPr>
          <w:rFonts w:hint="eastAsia"/>
          <w:sz w:val="28"/>
          <w:szCs w:val="28"/>
        </w:rPr>
        <w:t>所，附设幼儿班机构</w:t>
      </w:r>
      <w:r>
        <w:rPr>
          <w:rFonts w:hint="eastAsia"/>
          <w:sz w:val="28"/>
          <w:szCs w:val="28"/>
        </w:rPr>
        <w:t>323</w:t>
      </w:r>
      <w:r>
        <w:rPr>
          <w:rFonts w:hint="eastAsia"/>
          <w:sz w:val="28"/>
          <w:szCs w:val="28"/>
        </w:rPr>
        <w:t>个。当年入园儿童</w:t>
      </w:r>
      <w:r>
        <w:rPr>
          <w:rFonts w:hint="eastAsia"/>
          <w:sz w:val="28"/>
          <w:szCs w:val="28"/>
        </w:rPr>
        <w:t>2.7</w:t>
      </w:r>
      <w:r>
        <w:rPr>
          <w:rFonts w:hint="eastAsia"/>
          <w:sz w:val="28"/>
          <w:szCs w:val="28"/>
        </w:rPr>
        <w:t>万人，在园儿童</w:t>
      </w:r>
      <w:r>
        <w:rPr>
          <w:rFonts w:hint="eastAsia"/>
          <w:sz w:val="28"/>
          <w:szCs w:val="28"/>
        </w:rPr>
        <w:t>12.2</w:t>
      </w:r>
      <w:r>
        <w:rPr>
          <w:rFonts w:hint="eastAsia"/>
          <w:sz w:val="28"/>
          <w:szCs w:val="28"/>
        </w:rPr>
        <w:t>万人，全市幼儿园教职工</w:t>
      </w:r>
      <w:r>
        <w:rPr>
          <w:rFonts w:hint="eastAsia"/>
          <w:sz w:val="28"/>
          <w:szCs w:val="28"/>
        </w:rPr>
        <w:t>2.1</w:t>
      </w:r>
      <w:r>
        <w:rPr>
          <w:rFonts w:hint="eastAsia"/>
          <w:sz w:val="28"/>
          <w:szCs w:val="28"/>
        </w:rPr>
        <w:t>万人，其中，专任教师</w:t>
      </w:r>
      <w:r>
        <w:rPr>
          <w:rFonts w:hint="eastAsia"/>
          <w:sz w:val="28"/>
          <w:szCs w:val="28"/>
        </w:rPr>
        <w:t>1.1</w:t>
      </w:r>
      <w:r>
        <w:rPr>
          <w:rFonts w:hint="eastAsia"/>
          <w:sz w:val="28"/>
          <w:szCs w:val="28"/>
        </w:rPr>
        <w:t>万人；民办普惠性幼儿园</w:t>
      </w:r>
      <w:r>
        <w:rPr>
          <w:rFonts w:hint="eastAsia"/>
          <w:sz w:val="28"/>
          <w:szCs w:val="28"/>
        </w:rPr>
        <w:t>129</w:t>
      </w:r>
      <w:r>
        <w:rPr>
          <w:rFonts w:hint="eastAsia"/>
          <w:sz w:val="28"/>
          <w:szCs w:val="28"/>
        </w:rPr>
        <w:t>所，在园</w:t>
      </w:r>
      <w:r>
        <w:rPr>
          <w:rFonts w:hint="eastAsia"/>
          <w:sz w:val="28"/>
          <w:szCs w:val="28"/>
        </w:rPr>
        <w:t>幼儿</w:t>
      </w:r>
      <w:r>
        <w:rPr>
          <w:rFonts w:hint="eastAsia"/>
          <w:sz w:val="28"/>
          <w:szCs w:val="28"/>
        </w:rPr>
        <w:t>1.8</w:t>
      </w:r>
      <w:r>
        <w:rPr>
          <w:rFonts w:hint="eastAsia"/>
          <w:sz w:val="28"/>
          <w:szCs w:val="28"/>
        </w:rPr>
        <w:t>万人。</w:t>
      </w:r>
    </w:p>
    <w:p w:rsidR="005A1ADB" w:rsidRDefault="000B6ECF">
      <w:pPr>
        <w:adjustRightInd w:val="0"/>
        <w:snapToGrid w:val="0"/>
        <w:spacing w:line="360" w:lineRule="auto"/>
        <w:ind w:firstLineChars="200" w:firstLine="560"/>
        <w:rPr>
          <w:sz w:val="28"/>
          <w:szCs w:val="28"/>
        </w:rPr>
      </w:pPr>
      <w:r>
        <w:rPr>
          <w:rFonts w:hint="eastAsia"/>
          <w:sz w:val="28"/>
          <w:szCs w:val="28"/>
        </w:rPr>
        <w:t>在医疗方面，全市共有卫生医疗机构</w:t>
      </w:r>
      <w:r>
        <w:rPr>
          <w:rFonts w:hint="eastAsia"/>
          <w:sz w:val="28"/>
          <w:szCs w:val="28"/>
        </w:rPr>
        <w:t>7966</w:t>
      </w:r>
      <w:r>
        <w:rPr>
          <w:rFonts w:hint="eastAsia"/>
          <w:sz w:val="28"/>
          <w:szCs w:val="28"/>
        </w:rPr>
        <w:t>个，其中，医院、卫生院</w:t>
      </w:r>
      <w:r>
        <w:rPr>
          <w:rFonts w:hint="eastAsia"/>
          <w:sz w:val="28"/>
          <w:szCs w:val="28"/>
        </w:rPr>
        <w:t>377</w:t>
      </w:r>
      <w:r>
        <w:rPr>
          <w:rFonts w:hint="eastAsia"/>
          <w:sz w:val="28"/>
          <w:szCs w:val="28"/>
        </w:rPr>
        <w:t>所，拥有医疗床位</w:t>
      </w:r>
      <w:r>
        <w:rPr>
          <w:rFonts w:hint="eastAsia"/>
          <w:sz w:val="28"/>
          <w:szCs w:val="28"/>
        </w:rPr>
        <w:t>6.5</w:t>
      </w:r>
      <w:r>
        <w:rPr>
          <w:rFonts w:hint="eastAsia"/>
          <w:sz w:val="28"/>
          <w:szCs w:val="28"/>
        </w:rPr>
        <w:t>万张，卫生技术人员为</w:t>
      </w:r>
      <w:r>
        <w:rPr>
          <w:rFonts w:hint="eastAsia"/>
          <w:sz w:val="28"/>
          <w:szCs w:val="28"/>
        </w:rPr>
        <w:t>8.1</w:t>
      </w:r>
      <w:r>
        <w:rPr>
          <w:rFonts w:hint="eastAsia"/>
          <w:sz w:val="28"/>
          <w:szCs w:val="28"/>
        </w:rPr>
        <w:t>万人，每千人拥有执业医师和执业助理医师</w:t>
      </w:r>
      <w:r>
        <w:rPr>
          <w:rFonts w:hint="eastAsia"/>
          <w:sz w:val="28"/>
          <w:szCs w:val="28"/>
        </w:rPr>
        <w:t>3.74</w:t>
      </w:r>
      <w:r>
        <w:rPr>
          <w:rFonts w:hint="eastAsia"/>
          <w:sz w:val="28"/>
          <w:szCs w:val="28"/>
        </w:rPr>
        <w:t>人。市辖区建成社区卫生服务中心</w:t>
      </w:r>
      <w:r>
        <w:rPr>
          <w:rFonts w:hint="eastAsia"/>
          <w:sz w:val="28"/>
          <w:szCs w:val="28"/>
        </w:rPr>
        <w:t>96</w:t>
      </w:r>
      <w:r>
        <w:rPr>
          <w:rFonts w:hint="eastAsia"/>
          <w:sz w:val="28"/>
          <w:szCs w:val="28"/>
        </w:rPr>
        <w:t>家，城区人口覆盖率达到</w:t>
      </w:r>
      <w:r>
        <w:rPr>
          <w:rFonts w:hint="eastAsia"/>
          <w:sz w:val="28"/>
          <w:szCs w:val="28"/>
        </w:rPr>
        <w:t>100%</w:t>
      </w:r>
      <w:r>
        <w:rPr>
          <w:rFonts w:hint="eastAsia"/>
          <w:sz w:val="28"/>
          <w:szCs w:val="28"/>
        </w:rPr>
        <w:t>。</w:t>
      </w:r>
    </w:p>
    <w:p w:rsidR="005A1ADB" w:rsidRDefault="000B6ECF">
      <w:pPr>
        <w:adjustRightInd w:val="0"/>
        <w:snapToGrid w:val="0"/>
        <w:spacing w:line="360" w:lineRule="auto"/>
        <w:ind w:firstLineChars="200" w:firstLine="560"/>
        <w:rPr>
          <w:sz w:val="28"/>
          <w:szCs w:val="28"/>
        </w:rPr>
      </w:pPr>
      <w:r>
        <w:rPr>
          <w:rFonts w:hint="eastAsia"/>
          <w:sz w:val="28"/>
          <w:szCs w:val="28"/>
        </w:rPr>
        <w:t>在文旅产业方面，</w:t>
      </w:r>
      <w:r>
        <w:rPr>
          <w:rFonts w:hint="eastAsia"/>
          <w:sz w:val="28"/>
          <w:szCs w:val="28"/>
        </w:rPr>
        <w:t>2020</w:t>
      </w:r>
      <w:r>
        <w:rPr>
          <w:rFonts w:hint="eastAsia"/>
          <w:sz w:val="28"/>
          <w:szCs w:val="28"/>
        </w:rPr>
        <w:t>年来长旅游人数达到</w:t>
      </w:r>
      <w:r>
        <w:rPr>
          <w:rFonts w:hint="eastAsia"/>
          <w:sz w:val="28"/>
          <w:szCs w:val="28"/>
        </w:rPr>
        <w:t>7238.25</w:t>
      </w:r>
      <w:r>
        <w:rPr>
          <w:rFonts w:hint="eastAsia"/>
          <w:sz w:val="28"/>
          <w:szCs w:val="28"/>
        </w:rPr>
        <w:t>万人次，其中，接待入境游客</w:t>
      </w:r>
      <w:r>
        <w:rPr>
          <w:rFonts w:hint="eastAsia"/>
          <w:sz w:val="28"/>
          <w:szCs w:val="28"/>
        </w:rPr>
        <w:t>14.77</w:t>
      </w:r>
      <w:r>
        <w:rPr>
          <w:rFonts w:hint="eastAsia"/>
          <w:sz w:val="28"/>
          <w:szCs w:val="28"/>
        </w:rPr>
        <w:t>万人次，接待国内旅游者</w:t>
      </w:r>
      <w:r>
        <w:rPr>
          <w:rFonts w:hint="eastAsia"/>
          <w:sz w:val="28"/>
          <w:szCs w:val="28"/>
        </w:rPr>
        <w:t>7223.48</w:t>
      </w:r>
      <w:r>
        <w:rPr>
          <w:rFonts w:hint="eastAsia"/>
          <w:sz w:val="28"/>
          <w:szCs w:val="28"/>
        </w:rPr>
        <w:t>万人次。全年旅游总收入</w:t>
      </w:r>
      <w:r>
        <w:rPr>
          <w:rFonts w:hint="eastAsia"/>
          <w:sz w:val="28"/>
          <w:szCs w:val="28"/>
        </w:rPr>
        <w:t>1381.52</w:t>
      </w:r>
      <w:r>
        <w:rPr>
          <w:rFonts w:hint="eastAsia"/>
          <w:sz w:val="28"/>
          <w:szCs w:val="28"/>
        </w:rPr>
        <w:t>亿元，旅游外汇收入</w:t>
      </w:r>
      <w:r>
        <w:rPr>
          <w:rFonts w:hint="eastAsia"/>
          <w:sz w:val="28"/>
          <w:szCs w:val="28"/>
        </w:rPr>
        <w:t>6865.01</w:t>
      </w:r>
      <w:r>
        <w:rPr>
          <w:rFonts w:hint="eastAsia"/>
          <w:sz w:val="28"/>
          <w:szCs w:val="28"/>
        </w:rPr>
        <w:t>万美元。全市共举办规模以上会展活动</w:t>
      </w:r>
      <w:r>
        <w:rPr>
          <w:rFonts w:hint="eastAsia"/>
          <w:sz w:val="28"/>
          <w:szCs w:val="28"/>
        </w:rPr>
        <w:t>66</w:t>
      </w:r>
      <w:r>
        <w:rPr>
          <w:rFonts w:hint="eastAsia"/>
          <w:sz w:val="28"/>
          <w:szCs w:val="28"/>
        </w:rPr>
        <w:t>项，展览面积</w:t>
      </w:r>
      <w:r>
        <w:rPr>
          <w:rFonts w:hint="eastAsia"/>
          <w:sz w:val="28"/>
          <w:szCs w:val="28"/>
        </w:rPr>
        <w:t>239</w:t>
      </w:r>
      <w:r>
        <w:rPr>
          <w:rFonts w:hint="eastAsia"/>
          <w:sz w:val="28"/>
          <w:szCs w:val="28"/>
        </w:rPr>
        <w:t>万平方米，展</w:t>
      </w:r>
      <w:r>
        <w:rPr>
          <w:rFonts w:hint="eastAsia"/>
          <w:sz w:val="28"/>
          <w:szCs w:val="28"/>
        </w:rPr>
        <w:t>会实现交易额近</w:t>
      </w:r>
      <w:r>
        <w:rPr>
          <w:rFonts w:hint="eastAsia"/>
          <w:sz w:val="28"/>
          <w:szCs w:val="28"/>
        </w:rPr>
        <w:t>180</w:t>
      </w:r>
      <w:r>
        <w:rPr>
          <w:rFonts w:hint="eastAsia"/>
          <w:sz w:val="28"/>
          <w:szCs w:val="28"/>
        </w:rPr>
        <w:t>亿元。</w:t>
      </w:r>
    </w:p>
    <w:p w:rsidR="005A1ADB" w:rsidRDefault="000B6ECF">
      <w:pPr>
        <w:pStyle w:val="4"/>
      </w:pPr>
      <w:r>
        <w:rPr>
          <w:rFonts w:hint="eastAsia"/>
        </w:rPr>
        <w:t>2.1.4</w:t>
      </w:r>
      <w:r>
        <w:rPr>
          <w:rFonts w:hint="eastAsia"/>
        </w:rPr>
        <w:t>生态环境概况</w:t>
      </w:r>
    </w:p>
    <w:p w:rsidR="005A1ADB" w:rsidRDefault="000B6ECF">
      <w:pPr>
        <w:adjustRightInd w:val="0"/>
        <w:snapToGrid w:val="0"/>
        <w:spacing w:line="360" w:lineRule="auto"/>
        <w:ind w:firstLineChars="200" w:firstLine="560"/>
        <w:rPr>
          <w:sz w:val="28"/>
          <w:szCs w:val="28"/>
        </w:rPr>
      </w:pPr>
      <w:r>
        <w:rPr>
          <w:rFonts w:hint="eastAsia"/>
          <w:sz w:val="28"/>
          <w:szCs w:val="28"/>
        </w:rPr>
        <w:t>大气环境方面，</w:t>
      </w:r>
      <w:r>
        <w:rPr>
          <w:rFonts w:hint="eastAsia"/>
          <w:sz w:val="28"/>
          <w:szCs w:val="28"/>
        </w:rPr>
        <w:t>2020</w:t>
      </w:r>
      <w:r>
        <w:rPr>
          <w:rFonts w:hint="eastAsia"/>
          <w:sz w:val="28"/>
          <w:szCs w:val="28"/>
        </w:rPr>
        <w:t>年全市城区空气环境质量优良级天数</w:t>
      </w:r>
      <w:r>
        <w:rPr>
          <w:rFonts w:hint="eastAsia"/>
          <w:sz w:val="28"/>
          <w:szCs w:val="28"/>
        </w:rPr>
        <w:t>305</w:t>
      </w:r>
      <w:r>
        <w:rPr>
          <w:rFonts w:hint="eastAsia"/>
          <w:sz w:val="28"/>
          <w:szCs w:val="28"/>
        </w:rPr>
        <w:t>天，占总天数的</w:t>
      </w:r>
      <w:r>
        <w:rPr>
          <w:rFonts w:hint="eastAsia"/>
          <w:sz w:val="28"/>
          <w:szCs w:val="28"/>
        </w:rPr>
        <w:t>83.3%</w:t>
      </w:r>
      <w:r>
        <w:rPr>
          <w:rFonts w:hint="eastAsia"/>
          <w:sz w:val="28"/>
          <w:szCs w:val="28"/>
        </w:rPr>
        <w:t>，其中，优质天数</w:t>
      </w:r>
      <w:r>
        <w:rPr>
          <w:rFonts w:hint="eastAsia"/>
          <w:sz w:val="28"/>
          <w:szCs w:val="28"/>
        </w:rPr>
        <w:t>144</w:t>
      </w:r>
      <w:r>
        <w:rPr>
          <w:rFonts w:hint="eastAsia"/>
          <w:sz w:val="28"/>
          <w:szCs w:val="28"/>
        </w:rPr>
        <w:t>天，占优良天数</w:t>
      </w:r>
      <w:r>
        <w:rPr>
          <w:rFonts w:hint="eastAsia"/>
          <w:sz w:val="28"/>
          <w:szCs w:val="28"/>
        </w:rPr>
        <w:t>47.2%</w:t>
      </w:r>
      <w:r>
        <w:rPr>
          <w:rFonts w:hint="eastAsia"/>
          <w:sz w:val="28"/>
          <w:szCs w:val="28"/>
        </w:rPr>
        <w:t>；良级天数</w:t>
      </w:r>
      <w:r>
        <w:rPr>
          <w:rFonts w:hint="eastAsia"/>
          <w:sz w:val="28"/>
          <w:szCs w:val="28"/>
        </w:rPr>
        <w:t>161</w:t>
      </w:r>
      <w:r>
        <w:rPr>
          <w:rFonts w:hint="eastAsia"/>
          <w:sz w:val="28"/>
          <w:szCs w:val="28"/>
        </w:rPr>
        <w:t>天，占优良天数</w:t>
      </w:r>
      <w:r>
        <w:rPr>
          <w:rFonts w:hint="eastAsia"/>
          <w:sz w:val="28"/>
          <w:szCs w:val="28"/>
        </w:rPr>
        <w:t>52.8%</w:t>
      </w:r>
      <w:r>
        <w:rPr>
          <w:rFonts w:hint="eastAsia"/>
          <w:sz w:val="28"/>
          <w:szCs w:val="28"/>
        </w:rPr>
        <w:t>，重度及以上污染天气</w:t>
      </w:r>
      <w:r>
        <w:rPr>
          <w:rFonts w:hint="eastAsia"/>
          <w:sz w:val="28"/>
          <w:szCs w:val="28"/>
        </w:rPr>
        <w:t>15</w:t>
      </w:r>
      <w:r>
        <w:rPr>
          <w:rFonts w:hint="eastAsia"/>
          <w:sz w:val="28"/>
          <w:szCs w:val="28"/>
        </w:rPr>
        <w:t>天。空气首要污染物细颗粒物</w:t>
      </w:r>
      <w:r>
        <w:rPr>
          <w:rFonts w:hint="eastAsia"/>
          <w:sz w:val="28"/>
          <w:szCs w:val="28"/>
        </w:rPr>
        <w:t>PM2.5</w:t>
      </w:r>
      <w:r>
        <w:rPr>
          <w:rFonts w:hint="eastAsia"/>
          <w:sz w:val="28"/>
          <w:szCs w:val="28"/>
        </w:rPr>
        <w:t>年日均值每立方米</w:t>
      </w:r>
      <w:r>
        <w:rPr>
          <w:rFonts w:hint="eastAsia"/>
          <w:sz w:val="28"/>
          <w:szCs w:val="28"/>
        </w:rPr>
        <w:t>42</w:t>
      </w:r>
      <w:r>
        <w:rPr>
          <w:rFonts w:hint="eastAsia"/>
          <w:sz w:val="28"/>
          <w:szCs w:val="28"/>
        </w:rPr>
        <w:t>微克，二氧化硫年日均值每立方米</w:t>
      </w:r>
      <w:r>
        <w:rPr>
          <w:rFonts w:hint="eastAsia"/>
          <w:sz w:val="28"/>
          <w:szCs w:val="28"/>
        </w:rPr>
        <w:t>10</w:t>
      </w:r>
      <w:r>
        <w:rPr>
          <w:rFonts w:hint="eastAsia"/>
          <w:sz w:val="28"/>
          <w:szCs w:val="28"/>
        </w:rPr>
        <w:t>微克，二氧化氮年日均值每立方米</w:t>
      </w:r>
      <w:r>
        <w:rPr>
          <w:rFonts w:hint="eastAsia"/>
          <w:sz w:val="28"/>
          <w:szCs w:val="28"/>
        </w:rPr>
        <w:t>32</w:t>
      </w:r>
      <w:r>
        <w:rPr>
          <w:rFonts w:hint="eastAsia"/>
          <w:sz w:val="28"/>
          <w:szCs w:val="28"/>
        </w:rPr>
        <w:t>微克，环境空气质量综合指数</w:t>
      </w:r>
      <w:r>
        <w:rPr>
          <w:rFonts w:hint="eastAsia"/>
          <w:sz w:val="28"/>
          <w:szCs w:val="28"/>
        </w:rPr>
        <w:t>4.12</w:t>
      </w:r>
      <w:r>
        <w:rPr>
          <w:rFonts w:hint="eastAsia"/>
          <w:sz w:val="28"/>
          <w:szCs w:val="28"/>
        </w:rPr>
        <w:t>。</w:t>
      </w:r>
    </w:p>
    <w:p w:rsidR="005A1ADB" w:rsidRDefault="000B6ECF">
      <w:pPr>
        <w:adjustRightInd w:val="0"/>
        <w:snapToGrid w:val="0"/>
        <w:spacing w:line="360" w:lineRule="auto"/>
        <w:ind w:firstLineChars="200" w:firstLine="560"/>
        <w:rPr>
          <w:sz w:val="28"/>
          <w:szCs w:val="28"/>
        </w:rPr>
      </w:pPr>
      <w:r>
        <w:rPr>
          <w:rFonts w:hint="eastAsia"/>
          <w:sz w:val="28"/>
          <w:szCs w:val="28"/>
        </w:rPr>
        <w:t>在水环境方面，</w:t>
      </w:r>
      <w:r>
        <w:rPr>
          <w:rFonts w:hint="eastAsia"/>
          <w:sz w:val="28"/>
          <w:szCs w:val="28"/>
        </w:rPr>
        <w:t>2020</w:t>
      </w:r>
      <w:r>
        <w:rPr>
          <w:rFonts w:hint="eastAsia"/>
          <w:sz w:val="28"/>
          <w:szCs w:val="28"/>
        </w:rPr>
        <w:t>年全市重点流域国考断面水质全部达标，</w:t>
      </w:r>
      <w:r>
        <w:rPr>
          <w:rFonts w:hint="eastAsia"/>
          <w:sz w:val="28"/>
          <w:szCs w:val="28"/>
        </w:rPr>
        <w:lastRenderedPageBreak/>
        <w:t>优良水体比例为</w:t>
      </w:r>
      <w:r>
        <w:rPr>
          <w:rFonts w:hint="eastAsia"/>
          <w:sz w:val="28"/>
          <w:szCs w:val="28"/>
        </w:rPr>
        <w:t>77.8%</w:t>
      </w:r>
      <w:r>
        <w:rPr>
          <w:rFonts w:hint="eastAsia"/>
          <w:sz w:val="28"/>
          <w:szCs w:val="28"/>
        </w:rPr>
        <w:t>，劣Ⅴ类国考断面历史首</w:t>
      </w:r>
      <w:r>
        <w:rPr>
          <w:rFonts w:hint="eastAsia"/>
          <w:sz w:val="28"/>
          <w:szCs w:val="28"/>
        </w:rPr>
        <w:t>次全部清零，水环境质量达到历史最好水平。地表水集中式饮用水水源地水质达标率为</w:t>
      </w:r>
      <w:r>
        <w:rPr>
          <w:rFonts w:hint="eastAsia"/>
          <w:sz w:val="28"/>
          <w:szCs w:val="28"/>
        </w:rPr>
        <w:t>100%</w:t>
      </w:r>
      <w:r>
        <w:rPr>
          <w:rFonts w:hint="eastAsia"/>
          <w:sz w:val="28"/>
          <w:szCs w:val="28"/>
        </w:rPr>
        <w:t>，</w:t>
      </w:r>
      <w:r>
        <w:rPr>
          <w:rFonts w:hint="eastAsia"/>
          <w:sz w:val="28"/>
          <w:szCs w:val="28"/>
        </w:rPr>
        <w:t>75</w:t>
      </w:r>
      <w:r>
        <w:rPr>
          <w:rFonts w:hint="eastAsia"/>
          <w:sz w:val="28"/>
          <w:szCs w:val="28"/>
        </w:rPr>
        <w:t>处黑臭水体已基本消除。</w:t>
      </w:r>
    </w:p>
    <w:p w:rsidR="005A1ADB" w:rsidRDefault="000B6ECF">
      <w:pPr>
        <w:adjustRightInd w:val="0"/>
        <w:snapToGrid w:val="0"/>
        <w:spacing w:line="360" w:lineRule="auto"/>
        <w:ind w:firstLineChars="200" w:firstLine="560"/>
        <w:rPr>
          <w:sz w:val="28"/>
          <w:szCs w:val="28"/>
        </w:rPr>
      </w:pPr>
      <w:r>
        <w:rPr>
          <w:rFonts w:hint="eastAsia"/>
          <w:sz w:val="28"/>
          <w:szCs w:val="28"/>
        </w:rPr>
        <w:t>在土壤环境方面，</w:t>
      </w:r>
      <w:r>
        <w:rPr>
          <w:rFonts w:hint="eastAsia"/>
          <w:sz w:val="28"/>
          <w:szCs w:val="28"/>
        </w:rPr>
        <w:t>2020</w:t>
      </w:r>
      <w:r>
        <w:rPr>
          <w:rFonts w:hint="eastAsia"/>
          <w:sz w:val="28"/>
          <w:szCs w:val="28"/>
        </w:rPr>
        <w:t>年受污染耕地安全利用率和污染地块安全利用率均为</w:t>
      </w:r>
      <w:r>
        <w:rPr>
          <w:rFonts w:hint="eastAsia"/>
          <w:sz w:val="28"/>
          <w:szCs w:val="28"/>
        </w:rPr>
        <w:t>100%</w:t>
      </w:r>
      <w:r>
        <w:rPr>
          <w:rFonts w:hint="eastAsia"/>
          <w:sz w:val="28"/>
          <w:szCs w:val="28"/>
        </w:rPr>
        <w:t>。</w:t>
      </w:r>
    </w:p>
    <w:p w:rsidR="005A1ADB" w:rsidRDefault="000B6ECF">
      <w:pPr>
        <w:adjustRightInd w:val="0"/>
        <w:snapToGrid w:val="0"/>
        <w:spacing w:line="360" w:lineRule="auto"/>
        <w:ind w:firstLineChars="200" w:firstLine="560"/>
        <w:rPr>
          <w:sz w:val="28"/>
          <w:szCs w:val="28"/>
        </w:rPr>
      </w:pPr>
      <w:r>
        <w:rPr>
          <w:rFonts w:hint="eastAsia"/>
          <w:sz w:val="28"/>
          <w:szCs w:val="28"/>
        </w:rPr>
        <w:t>在声环境方面，</w:t>
      </w:r>
      <w:r>
        <w:rPr>
          <w:rFonts w:hint="eastAsia"/>
          <w:sz w:val="28"/>
          <w:szCs w:val="28"/>
        </w:rPr>
        <w:t>2020</w:t>
      </w:r>
      <w:r>
        <w:rPr>
          <w:rFonts w:hint="eastAsia"/>
          <w:sz w:val="28"/>
          <w:szCs w:val="28"/>
        </w:rPr>
        <w:t>年，长春市区域环境噪声昼间等效声级平均值</w:t>
      </w:r>
      <w:r>
        <w:rPr>
          <w:rFonts w:hint="eastAsia"/>
          <w:sz w:val="28"/>
          <w:szCs w:val="28"/>
        </w:rPr>
        <w:t>55.2dB</w:t>
      </w:r>
      <w:r>
        <w:rPr>
          <w:rFonts w:hint="eastAsia"/>
          <w:sz w:val="28"/>
          <w:szCs w:val="28"/>
        </w:rPr>
        <w:t>（</w:t>
      </w:r>
      <w:r>
        <w:rPr>
          <w:rFonts w:hint="eastAsia"/>
          <w:sz w:val="28"/>
          <w:szCs w:val="28"/>
        </w:rPr>
        <w:t>A</w:t>
      </w:r>
      <w:r>
        <w:rPr>
          <w:rFonts w:hint="eastAsia"/>
          <w:sz w:val="28"/>
          <w:szCs w:val="28"/>
        </w:rPr>
        <w:t>），昼间道路交通噪声平均等效声级为</w:t>
      </w:r>
      <w:r>
        <w:rPr>
          <w:rFonts w:hint="eastAsia"/>
          <w:sz w:val="28"/>
          <w:szCs w:val="28"/>
        </w:rPr>
        <w:t>69.9dB</w:t>
      </w:r>
      <w:r>
        <w:rPr>
          <w:rFonts w:hint="eastAsia"/>
          <w:sz w:val="28"/>
          <w:szCs w:val="28"/>
        </w:rPr>
        <w:t>（</w:t>
      </w:r>
      <w:r>
        <w:rPr>
          <w:rFonts w:hint="eastAsia"/>
          <w:sz w:val="28"/>
          <w:szCs w:val="28"/>
        </w:rPr>
        <w:t>A</w:t>
      </w:r>
      <w:r>
        <w:rPr>
          <w:rFonts w:hint="eastAsia"/>
          <w:sz w:val="28"/>
          <w:szCs w:val="28"/>
        </w:rPr>
        <w:t>）。</w:t>
      </w:r>
    </w:p>
    <w:p w:rsidR="005A1ADB" w:rsidRDefault="000B6ECF">
      <w:pPr>
        <w:adjustRightInd w:val="0"/>
        <w:snapToGrid w:val="0"/>
        <w:spacing w:line="360" w:lineRule="auto"/>
        <w:ind w:firstLineChars="200" w:firstLine="560"/>
        <w:rPr>
          <w:sz w:val="28"/>
          <w:szCs w:val="28"/>
        </w:rPr>
      </w:pPr>
      <w:r>
        <w:rPr>
          <w:rFonts w:hint="eastAsia"/>
          <w:sz w:val="28"/>
          <w:szCs w:val="28"/>
        </w:rPr>
        <w:t>在主要污染物排放方面，</w:t>
      </w:r>
      <w:r>
        <w:rPr>
          <w:rFonts w:hint="eastAsia"/>
          <w:sz w:val="28"/>
          <w:szCs w:val="28"/>
        </w:rPr>
        <w:t>2020</w:t>
      </w:r>
      <w:r>
        <w:rPr>
          <w:rFonts w:hint="eastAsia"/>
          <w:sz w:val="28"/>
          <w:szCs w:val="28"/>
        </w:rPr>
        <w:t>年二氧化硫、氮氧化物、化学需氧量、氨氮的排放量分别为</w:t>
      </w:r>
      <w:r>
        <w:rPr>
          <w:rFonts w:hint="eastAsia"/>
          <w:sz w:val="28"/>
          <w:szCs w:val="28"/>
        </w:rPr>
        <w:t>4.60</w:t>
      </w:r>
      <w:r>
        <w:rPr>
          <w:rFonts w:hint="eastAsia"/>
          <w:sz w:val="28"/>
          <w:szCs w:val="28"/>
        </w:rPr>
        <w:t>万吨、</w:t>
      </w:r>
      <w:r>
        <w:rPr>
          <w:rFonts w:hint="eastAsia"/>
          <w:sz w:val="28"/>
          <w:szCs w:val="28"/>
        </w:rPr>
        <w:t>9.50</w:t>
      </w:r>
      <w:r>
        <w:rPr>
          <w:rFonts w:hint="eastAsia"/>
          <w:sz w:val="28"/>
          <w:szCs w:val="28"/>
        </w:rPr>
        <w:t>万吨、</w:t>
      </w:r>
      <w:r>
        <w:rPr>
          <w:rFonts w:hint="eastAsia"/>
          <w:sz w:val="28"/>
          <w:szCs w:val="28"/>
        </w:rPr>
        <w:t>13.29</w:t>
      </w:r>
      <w:r>
        <w:rPr>
          <w:rFonts w:hint="eastAsia"/>
          <w:sz w:val="28"/>
          <w:szCs w:val="28"/>
        </w:rPr>
        <w:t>万吨、</w:t>
      </w:r>
      <w:r>
        <w:rPr>
          <w:rFonts w:hint="eastAsia"/>
          <w:sz w:val="28"/>
          <w:szCs w:val="28"/>
        </w:rPr>
        <w:t>1.03</w:t>
      </w:r>
      <w:r>
        <w:rPr>
          <w:rFonts w:hint="eastAsia"/>
          <w:sz w:val="28"/>
          <w:szCs w:val="28"/>
        </w:rPr>
        <w:t>万吨，符合吉林省指标要求。</w:t>
      </w:r>
    </w:p>
    <w:p w:rsidR="005A1ADB" w:rsidRDefault="000B6ECF">
      <w:pPr>
        <w:adjustRightInd w:val="0"/>
        <w:snapToGrid w:val="0"/>
        <w:spacing w:line="360" w:lineRule="auto"/>
        <w:ind w:firstLineChars="200" w:firstLine="560"/>
        <w:rPr>
          <w:sz w:val="28"/>
          <w:szCs w:val="28"/>
        </w:rPr>
      </w:pPr>
      <w:r>
        <w:rPr>
          <w:rFonts w:hint="eastAsia"/>
          <w:sz w:val="28"/>
          <w:szCs w:val="28"/>
        </w:rPr>
        <w:t>在生态环境方面，长春市从东至西分布有温带山地森林、温带平原农田和温带草原</w:t>
      </w:r>
      <w:r>
        <w:rPr>
          <w:sz w:val="28"/>
          <w:szCs w:val="28"/>
        </w:rPr>
        <w:t>3</w:t>
      </w:r>
      <w:r>
        <w:rPr>
          <w:rFonts w:hint="eastAsia"/>
          <w:sz w:val="28"/>
          <w:szCs w:val="28"/>
        </w:rPr>
        <w:t>种自然植被类型，森林植被以东亚阔叶林为主，农田植被以玉米和水稻为主，草原植被以草甸为主，森林覆盖率</w:t>
      </w:r>
      <w:r>
        <w:rPr>
          <w:rFonts w:hint="eastAsia"/>
          <w:sz w:val="28"/>
          <w:szCs w:val="28"/>
        </w:rPr>
        <w:t>7.6%</w:t>
      </w:r>
      <w:r>
        <w:rPr>
          <w:rFonts w:hint="eastAsia"/>
          <w:sz w:val="28"/>
          <w:szCs w:val="28"/>
        </w:rPr>
        <w:t>。全市公园绿地面积达到</w:t>
      </w:r>
      <w:r>
        <w:rPr>
          <w:rFonts w:hint="eastAsia"/>
          <w:sz w:val="28"/>
          <w:szCs w:val="28"/>
        </w:rPr>
        <w:t>5913.6</w:t>
      </w:r>
      <w:r>
        <w:rPr>
          <w:rFonts w:hint="eastAsia"/>
          <w:sz w:val="28"/>
          <w:szCs w:val="28"/>
        </w:rPr>
        <w:t>公顷，建成区绿化覆盖面积达到</w:t>
      </w:r>
      <w:r>
        <w:rPr>
          <w:rFonts w:hint="eastAsia"/>
          <w:sz w:val="28"/>
          <w:szCs w:val="28"/>
        </w:rPr>
        <w:t>22864.8</w:t>
      </w:r>
      <w:r>
        <w:rPr>
          <w:rFonts w:hint="eastAsia"/>
          <w:sz w:val="28"/>
          <w:szCs w:val="28"/>
        </w:rPr>
        <w:t>公顷，建成区绿化覆盖率达到</w:t>
      </w:r>
      <w:r>
        <w:rPr>
          <w:rFonts w:hint="eastAsia"/>
          <w:sz w:val="28"/>
          <w:szCs w:val="28"/>
        </w:rPr>
        <w:t>41.5%</w:t>
      </w:r>
      <w:r>
        <w:rPr>
          <w:rFonts w:hint="eastAsia"/>
          <w:sz w:val="28"/>
          <w:szCs w:val="28"/>
        </w:rPr>
        <w:t>。</w:t>
      </w:r>
    </w:p>
    <w:p w:rsidR="005A1ADB" w:rsidRDefault="000B6ECF">
      <w:pPr>
        <w:pStyle w:val="4"/>
        <w:adjustRightInd w:val="0"/>
        <w:snapToGrid w:val="0"/>
        <w:spacing w:line="360" w:lineRule="auto"/>
        <w:ind w:firstLineChars="253" w:firstLine="711"/>
      </w:pPr>
      <w:r>
        <w:rPr>
          <w:rFonts w:hint="eastAsia"/>
        </w:rPr>
        <w:t>2.1.</w:t>
      </w:r>
      <w:r>
        <w:t>5</w:t>
      </w:r>
      <w:r>
        <w:rPr>
          <w:rFonts w:hint="eastAsia"/>
        </w:rPr>
        <w:t>城市发展定位</w:t>
      </w:r>
    </w:p>
    <w:p w:rsidR="005A1ADB" w:rsidRDefault="000B6ECF">
      <w:pPr>
        <w:adjustRightInd w:val="0"/>
        <w:snapToGrid w:val="0"/>
        <w:spacing w:line="360" w:lineRule="auto"/>
        <w:ind w:firstLineChars="200" w:firstLine="560"/>
        <w:rPr>
          <w:sz w:val="28"/>
          <w:szCs w:val="28"/>
        </w:rPr>
      </w:pPr>
      <w:r>
        <w:rPr>
          <w:rFonts w:hint="eastAsia"/>
          <w:sz w:val="28"/>
          <w:szCs w:val="28"/>
        </w:rPr>
        <w:t>《长春市国民经济和社会发展第十四个五年规划和</w:t>
      </w:r>
      <w:r>
        <w:rPr>
          <w:rFonts w:hint="eastAsia"/>
          <w:sz w:val="28"/>
          <w:szCs w:val="28"/>
        </w:rPr>
        <w:t xml:space="preserve"> 2035 </w:t>
      </w:r>
      <w:r>
        <w:rPr>
          <w:rFonts w:hint="eastAsia"/>
          <w:sz w:val="28"/>
          <w:szCs w:val="28"/>
        </w:rPr>
        <w:t>年远景目标纲要》提出，“十四五”时期，长春全面振兴全方位振兴取得实质性突破，以加快建设长春现代化都市圈为引领，把长春建设成为常住人口超</w:t>
      </w:r>
      <w:r>
        <w:rPr>
          <w:rFonts w:hint="eastAsia"/>
          <w:sz w:val="28"/>
          <w:szCs w:val="28"/>
        </w:rPr>
        <w:t>1</w:t>
      </w:r>
      <w:r>
        <w:rPr>
          <w:rFonts w:hint="eastAsia"/>
          <w:sz w:val="28"/>
          <w:szCs w:val="28"/>
        </w:rPr>
        <w:t>000</w:t>
      </w:r>
      <w:r>
        <w:rPr>
          <w:rFonts w:hint="eastAsia"/>
          <w:sz w:val="28"/>
          <w:szCs w:val="28"/>
        </w:rPr>
        <w:t>万、经济总量迈向万亿的特大型现代化城市。</w:t>
      </w:r>
    </w:p>
    <w:p w:rsidR="005A1ADB" w:rsidRDefault="000B6ECF">
      <w:pPr>
        <w:adjustRightInd w:val="0"/>
        <w:snapToGrid w:val="0"/>
        <w:spacing w:line="360" w:lineRule="auto"/>
        <w:ind w:firstLineChars="200" w:firstLine="560"/>
        <w:rPr>
          <w:sz w:val="28"/>
          <w:szCs w:val="28"/>
        </w:rPr>
      </w:pPr>
      <w:r>
        <w:rPr>
          <w:rFonts w:hint="eastAsia"/>
          <w:sz w:val="28"/>
          <w:szCs w:val="28"/>
        </w:rPr>
        <w:t>在经济发展方面，到</w:t>
      </w:r>
      <w:r>
        <w:rPr>
          <w:rFonts w:hint="eastAsia"/>
          <w:sz w:val="28"/>
          <w:szCs w:val="28"/>
        </w:rPr>
        <w:t>2025</w:t>
      </w:r>
      <w:r>
        <w:rPr>
          <w:rFonts w:hint="eastAsia"/>
          <w:sz w:val="28"/>
          <w:szCs w:val="28"/>
        </w:rPr>
        <w:t>年，经济实现高质量发展，年均增速达到</w:t>
      </w:r>
      <w:r>
        <w:rPr>
          <w:rFonts w:hint="eastAsia"/>
          <w:sz w:val="28"/>
          <w:szCs w:val="28"/>
        </w:rPr>
        <w:t>6.5%</w:t>
      </w:r>
      <w:r>
        <w:rPr>
          <w:rFonts w:hint="eastAsia"/>
          <w:sz w:val="28"/>
          <w:szCs w:val="28"/>
        </w:rPr>
        <w:t>左右。产业结构加快调整，农业农村现代化走在全国全省前列。规模以上工业总产值超过</w:t>
      </w:r>
      <w:r>
        <w:rPr>
          <w:rFonts w:hint="eastAsia"/>
          <w:sz w:val="28"/>
          <w:szCs w:val="28"/>
        </w:rPr>
        <w:t>1.4</w:t>
      </w:r>
      <w:r>
        <w:rPr>
          <w:rFonts w:hint="eastAsia"/>
          <w:sz w:val="28"/>
          <w:szCs w:val="28"/>
        </w:rPr>
        <w:t>万亿，长春制造品牌享誉全球。服务业占比超过</w:t>
      </w:r>
      <w:r>
        <w:rPr>
          <w:rFonts w:hint="eastAsia"/>
          <w:sz w:val="28"/>
          <w:szCs w:val="28"/>
        </w:rPr>
        <w:t>55%</w:t>
      </w:r>
      <w:r>
        <w:rPr>
          <w:rFonts w:hint="eastAsia"/>
          <w:sz w:val="28"/>
          <w:szCs w:val="28"/>
        </w:rPr>
        <w:t>，数字经济核心产业增加值占比超过全国平均水</w:t>
      </w:r>
      <w:r>
        <w:rPr>
          <w:rFonts w:hint="eastAsia"/>
          <w:sz w:val="28"/>
          <w:szCs w:val="28"/>
        </w:rPr>
        <w:lastRenderedPageBreak/>
        <w:t>平，初步建成数字经济东北地区第一城。</w:t>
      </w:r>
    </w:p>
    <w:p w:rsidR="005A1ADB" w:rsidRDefault="000B6ECF">
      <w:pPr>
        <w:adjustRightInd w:val="0"/>
        <w:snapToGrid w:val="0"/>
        <w:spacing w:line="360" w:lineRule="auto"/>
        <w:ind w:firstLineChars="200" w:firstLine="560"/>
        <w:rPr>
          <w:sz w:val="28"/>
          <w:szCs w:val="28"/>
        </w:rPr>
      </w:pPr>
      <w:r>
        <w:rPr>
          <w:rFonts w:hint="eastAsia"/>
          <w:sz w:val="28"/>
          <w:szCs w:val="28"/>
        </w:rPr>
        <w:t>在产业体系方面，构建以现代农业为基础、以先进制造业为支撑、以现代服务业为主体、以战略性新兴产业为引领的功能完善、配置高效的现代产业体系，汽车产业实现万亿级规模，高端装备、光电信息、农</w:t>
      </w:r>
      <w:r>
        <w:rPr>
          <w:rFonts w:hint="eastAsia"/>
          <w:sz w:val="28"/>
          <w:szCs w:val="28"/>
        </w:rPr>
        <w:t>产品加工、能源产业达到或超过千亿级规模，加快生物与医药、新材料、现代金融、科创服务、文化旅游、现代物流等新兴产业发展，数字经济核心产业增加值占比超过全国平均水平。</w:t>
      </w:r>
    </w:p>
    <w:p w:rsidR="005A1ADB" w:rsidRDefault="000B6ECF">
      <w:pPr>
        <w:adjustRightInd w:val="0"/>
        <w:snapToGrid w:val="0"/>
        <w:spacing w:line="360" w:lineRule="auto"/>
        <w:ind w:firstLineChars="200" w:firstLine="560"/>
        <w:rPr>
          <w:sz w:val="28"/>
          <w:szCs w:val="28"/>
        </w:rPr>
      </w:pPr>
      <w:r>
        <w:rPr>
          <w:rFonts w:hint="eastAsia"/>
          <w:sz w:val="28"/>
          <w:szCs w:val="28"/>
        </w:rPr>
        <w:t>2</w:t>
      </w:r>
      <w:r>
        <w:rPr>
          <w:sz w:val="28"/>
          <w:szCs w:val="28"/>
        </w:rPr>
        <w:t>021</w:t>
      </w:r>
      <w:r>
        <w:rPr>
          <w:sz w:val="28"/>
          <w:szCs w:val="28"/>
        </w:rPr>
        <w:t>年</w:t>
      </w:r>
      <w:r>
        <w:rPr>
          <w:rFonts w:hint="eastAsia"/>
          <w:sz w:val="28"/>
          <w:szCs w:val="28"/>
        </w:rPr>
        <w:t>1</w:t>
      </w:r>
      <w:r>
        <w:rPr>
          <w:sz w:val="28"/>
          <w:szCs w:val="28"/>
        </w:rPr>
        <w:t>2</w:t>
      </w:r>
      <w:r>
        <w:rPr>
          <w:sz w:val="28"/>
          <w:szCs w:val="28"/>
        </w:rPr>
        <w:t>月，</w:t>
      </w:r>
      <w:r>
        <w:rPr>
          <w:rFonts w:hint="eastAsia"/>
          <w:sz w:val="28"/>
          <w:szCs w:val="28"/>
        </w:rPr>
        <w:t>长春市第十四次党代会作出了加快打造国际汽车城、现代农业城、“双碳”示范城、科技创新城、新兴消费城、文化创意城，实施“六城联动”的重要部署。</w:t>
      </w:r>
      <w:r>
        <w:rPr>
          <w:rFonts w:hint="eastAsia"/>
          <w:sz w:val="28"/>
          <w:szCs w:val="28"/>
        </w:rPr>
        <w:t>2</w:t>
      </w:r>
      <w:r>
        <w:rPr>
          <w:sz w:val="28"/>
          <w:szCs w:val="28"/>
        </w:rPr>
        <w:t>022</w:t>
      </w:r>
      <w:r>
        <w:rPr>
          <w:sz w:val="28"/>
          <w:szCs w:val="28"/>
        </w:rPr>
        <w:t>年</w:t>
      </w:r>
      <w:r>
        <w:rPr>
          <w:rFonts w:hint="eastAsia"/>
          <w:sz w:val="28"/>
          <w:szCs w:val="28"/>
        </w:rPr>
        <w:t>2</w:t>
      </w:r>
      <w:r>
        <w:rPr>
          <w:rFonts w:hint="eastAsia"/>
          <w:sz w:val="28"/>
          <w:szCs w:val="28"/>
        </w:rPr>
        <w:t>月</w:t>
      </w:r>
      <w:r>
        <w:rPr>
          <w:sz w:val="28"/>
          <w:szCs w:val="28"/>
        </w:rPr>
        <w:t>，</w:t>
      </w:r>
      <w:r>
        <w:rPr>
          <w:rFonts w:hint="eastAsia"/>
          <w:sz w:val="28"/>
          <w:szCs w:val="28"/>
        </w:rPr>
        <w:t>为全面落实全省“一主六双”高质量发展战略，长春市发布了《长春市“六城联动”总体方案》，重点以产兴城、以城促产、产城融合，推动主导产业集群集聚、做大做强，以培育壮大“</w:t>
      </w:r>
      <w:r>
        <w:rPr>
          <w:rFonts w:hint="eastAsia"/>
          <w:sz w:val="28"/>
          <w:szCs w:val="28"/>
        </w:rPr>
        <w:t>1+6</w:t>
      </w:r>
      <w:r>
        <w:rPr>
          <w:rFonts w:hint="eastAsia"/>
          <w:sz w:val="28"/>
          <w:szCs w:val="28"/>
        </w:rPr>
        <w:t>”主导</w:t>
      </w:r>
      <w:r>
        <w:rPr>
          <w:rFonts w:hint="eastAsia"/>
          <w:sz w:val="28"/>
          <w:szCs w:val="28"/>
        </w:rPr>
        <w:t>产业为核心，打造汽车万亿级产业和高端装备、光电信息、生物医药、农产品加工、能源、文旅等</w:t>
      </w:r>
      <w:r>
        <w:rPr>
          <w:rFonts w:hint="eastAsia"/>
          <w:sz w:val="28"/>
          <w:szCs w:val="28"/>
        </w:rPr>
        <w:t>6</w:t>
      </w:r>
      <w:r>
        <w:rPr>
          <w:rFonts w:hint="eastAsia"/>
          <w:sz w:val="28"/>
          <w:szCs w:val="28"/>
        </w:rPr>
        <w:t>个千亿级产业。围绕承载长春“</w:t>
      </w:r>
      <w:r>
        <w:rPr>
          <w:rFonts w:hint="eastAsia"/>
          <w:sz w:val="28"/>
          <w:szCs w:val="28"/>
        </w:rPr>
        <w:t>1+6</w:t>
      </w:r>
      <w:r>
        <w:rPr>
          <w:rFonts w:hint="eastAsia"/>
          <w:sz w:val="28"/>
          <w:szCs w:val="28"/>
        </w:rPr>
        <w:t>”产业体系，国际汽车城重点发展汽车和高端装备制造</w:t>
      </w:r>
      <w:r>
        <w:rPr>
          <w:rFonts w:hint="eastAsia"/>
          <w:sz w:val="28"/>
          <w:szCs w:val="28"/>
        </w:rPr>
        <w:t>2</w:t>
      </w:r>
      <w:r>
        <w:rPr>
          <w:rFonts w:hint="eastAsia"/>
          <w:sz w:val="28"/>
          <w:szCs w:val="28"/>
        </w:rPr>
        <w:t>个主导产业，现代农业城重点发展农产品加工业、现代农业（种植业）、现代畜牧业</w:t>
      </w:r>
      <w:r>
        <w:rPr>
          <w:rFonts w:hint="eastAsia"/>
          <w:sz w:val="28"/>
          <w:szCs w:val="28"/>
        </w:rPr>
        <w:t>3</w:t>
      </w:r>
      <w:r>
        <w:rPr>
          <w:rFonts w:hint="eastAsia"/>
          <w:sz w:val="28"/>
          <w:szCs w:val="28"/>
        </w:rPr>
        <w:t>个主导产业，“双碳”示范城重点发展新能源、新材料、循环经济</w:t>
      </w:r>
      <w:r>
        <w:rPr>
          <w:rFonts w:hint="eastAsia"/>
          <w:sz w:val="28"/>
          <w:szCs w:val="28"/>
        </w:rPr>
        <w:t>3</w:t>
      </w:r>
      <w:r>
        <w:rPr>
          <w:rFonts w:hint="eastAsia"/>
          <w:sz w:val="28"/>
          <w:szCs w:val="28"/>
        </w:rPr>
        <w:t>个主导产业，科技创新城重点发展医药、光电信息、航空航天</w:t>
      </w:r>
      <w:r>
        <w:rPr>
          <w:rFonts w:hint="eastAsia"/>
          <w:sz w:val="28"/>
          <w:szCs w:val="28"/>
        </w:rPr>
        <w:t>3</w:t>
      </w:r>
      <w:r>
        <w:rPr>
          <w:rFonts w:hint="eastAsia"/>
          <w:sz w:val="28"/>
          <w:szCs w:val="28"/>
        </w:rPr>
        <w:t>个主导产业，新兴消费城重点发展新型商贸、美丽经济、电商经济</w:t>
      </w:r>
      <w:r>
        <w:rPr>
          <w:rFonts w:hint="eastAsia"/>
          <w:sz w:val="28"/>
          <w:szCs w:val="28"/>
        </w:rPr>
        <w:t>3</w:t>
      </w:r>
      <w:r>
        <w:rPr>
          <w:rFonts w:hint="eastAsia"/>
          <w:sz w:val="28"/>
          <w:szCs w:val="28"/>
        </w:rPr>
        <w:t>个主导产业，文化创意城重点发展影视文化、文化旅游、数字经济</w:t>
      </w:r>
      <w:r>
        <w:rPr>
          <w:rFonts w:hint="eastAsia"/>
          <w:sz w:val="28"/>
          <w:szCs w:val="28"/>
        </w:rPr>
        <w:t>3</w:t>
      </w:r>
      <w:r>
        <w:rPr>
          <w:rFonts w:hint="eastAsia"/>
          <w:sz w:val="28"/>
          <w:szCs w:val="28"/>
        </w:rPr>
        <w:t>个主导产业。</w:t>
      </w:r>
    </w:p>
    <w:p w:rsidR="005A1ADB" w:rsidRDefault="000B6ECF">
      <w:pPr>
        <w:pStyle w:val="3"/>
        <w:rPr>
          <w:sz w:val="28"/>
        </w:rPr>
      </w:pPr>
      <w:bookmarkStart w:id="29" w:name="_Toc104561688"/>
      <w:bookmarkStart w:id="30" w:name="_Toc8335"/>
      <w:bookmarkStart w:id="31" w:name="_Toc111199983"/>
      <w:bookmarkStart w:id="32" w:name="_Toc115079266"/>
      <w:bookmarkStart w:id="33" w:name="_Toc12648"/>
      <w:r>
        <w:rPr>
          <w:rFonts w:hint="eastAsia"/>
          <w:sz w:val="28"/>
        </w:rPr>
        <w:lastRenderedPageBreak/>
        <w:t xml:space="preserve">2.2 </w:t>
      </w:r>
      <w:r>
        <w:rPr>
          <w:rFonts w:hint="eastAsia"/>
          <w:sz w:val="28"/>
        </w:rPr>
        <w:t>固体废</w:t>
      </w:r>
      <w:r>
        <w:rPr>
          <w:rFonts w:hint="eastAsia"/>
          <w:sz w:val="28"/>
        </w:rPr>
        <w:t>物管理现状</w:t>
      </w:r>
      <w:bookmarkEnd w:id="29"/>
      <w:bookmarkEnd w:id="30"/>
      <w:bookmarkEnd w:id="31"/>
      <w:bookmarkEnd w:id="32"/>
      <w:bookmarkEnd w:id="33"/>
    </w:p>
    <w:p w:rsidR="005A1ADB" w:rsidRDefault="000B6ECF">
      <w:pPr>
        <w:pStyle w:val="4"/>
      </w:pPr>
      <w:r>
        <w:rPr>
          <w:rFonts w:hint="eastAsia"/>
        </w:rPr>
        <w:t>2.2.1</w:t>
      </w:r>
      <w:r>
        <w:rPr>
          <w:rFonts w:hint="eastAsia"/>
        </w:rPr>
        <w:t>工业产业发展及工业固体废物管理现状</w:t>
      </w:r>
    </w:p>
    <w:p w:rsidR="005A1ADB" w:rsidRDefault="000B6ECF">
      <w:pPr>
        <w:pStyle w:val="5"/>
        <w:rPr>
          <w:rFonts w:ascii="宋体" w:eastAsia="宋体" w:hAnsi="宋体" w:cs="宋体"/>
        </w:rPr>
      </w:pPr>
      <w:r>
        <w:rPr>
          <w:rFonts w:ascii="宋体" w:eastAsia="宋体" w:hAnsi="宋体" w:cs="宋体"/>
        </w:rPr>
        <w:t>2.2.1.1</w:t>
      </w:r>
      <w:r>
        <w:rPr>
          <w:rFonts w:ascii="宋体" w:eastAsia="宋体" w:hAnsi="宋体" w:cs="宋体" w:hint="eastAsia"/>
        </w:rPr>
        <w:t>工业产业发展基本情况</w:t>
      </w:r>
    </w:p>
    <w:p w:rsidR="005A1ADB" w:rsidRDefault="000B6ECF">
      <w:pPr>
        <w:widowControl/>
        <w:spacing w:after="120" w:line="300" w:lineRule="auto"/>
        <w:ind w:firstLineChars="200" w:firstLine="560"/>
        <w:rPr>
          <w:sz w:val="28"/>
          <w:szCs w:val="28"/>
        </w:rPr>
      </w:pPr>
      <w:r>
        <w:rPr>
          <w:rFonts w:hint="eastAsia"/>
          <w:sz w:val="28"/>
          <w:szCs w:val="28"/>
        </w:rPr>
        <w:t>在工业产业发展方面，长春市</w:t>
      </w:r>
      <w:r>
        <w:rPr>
          <w:rFonts w:hint="eastAsia"/>
          <w:sz w:val="28"/>
          <w:szCs w:val="28"/>
        </w:rPr>
        <w:t>2020</w:t>
      </w:r>
      <w:r>
        <w:rPr>
          <w:rFonts w:hint="eastAsia"/>
          <w:sz w:val="28"/>
          <w:szCs w:val="28"/>
        </w:rPr>
        <w:t>年</w:t>
      </w:r>
      <w:r>
        <w:rPr>
          <w:rFonts w:hint="eastAsia"/>
          <w:sz w:val="28"/>
        </w:rPr>
        <w:t>完成工业增加值</w:t>
      </w:r>
      <w:r>
        <w:rPr>
          <w:rFonts w:hint="eastAsia"/>
          <w:sz w:val="28"/>
        </w:rPr>
        <w:t>2327.6</w:t>
      </w:r>
      <w:r>
        <w:rPr>
          <w:rFonts w:hint="eastAsia"/>
          <w:sz w:val="28"/>
        </w:rPr>
        <w:t>亿元，其中，</w:t>
      </w:r>
      <w:r>
        <w:rPr>
          <w:rFonts w:hint="eastAsia"/>
          <w:sz w:val="28"/>
          <w:szCs w:val="28"/>
        </w:rPr>
        <w:t>规模以上工业累计完成增加值</w:t>
      </w:r>
      <w:r>
        <w:rPr>
          <w:rFonts w:hint="eastAsia"/>
          <w:sz w:val="28"/>
          <w:szCs w:val="28"/>
        </w:rPr>
        <w:t>1889</w:t>
      </w:r>
      <w:r>
        <w:rPr>
          <w:rFonts w:hint="eastAsia"/>
          <w:sz w:val="28"/>
          <w:szCs w:val="28"/>
        </w:rPr>
        <w:t>亿元，六大重点行业为汽车制造业、装备制造业、生物与医药工业、农副食品加工业、建材工业和光电子信息工业。</w:t>
      </w:r>
      <w:r>
        <w:rPr>
          <w:rFonts w:hint="eastAsia"/>
          <w:sz w:val="28"/>
          <w:szCs w:val="28"/>
        </w:rPr>
        <w:t>2020</w:t>
      </w:r>
      <w:r>
        <w:rPr>
          <w:rFonts w:hint="eastAsia"/>
          <w:sz w:val="28"/>
          <w:szCs w:val="28"/>
        </w:rPr>
        <w:t>年全市汽车制造业完成增加值</w:t>
      </w:r>
      <w:r>
        <w:rPr>
          <w:rFonts w:hint="eastAsia"/>
          <w:sz w:val="28"/>
          <w:szCs w:val="28"/>
        </w:rPr>
        <w:t>1291.9</w:t>
      </w:r>
      <w:r>
        <w:rPr>
          <w:rFonts w:hint="eastAsia"/>
          <w:sz w:val="28"/>
          <w:szCs w:val="28"/>
        </w:rPr>
        <w:t>亿元，汽车制造业占全市规上工业的比重达</w:t>
      </w:r>
      <w:r>
        <w:rPr>
          <w:rFonts w:hint="eastAsia"/>
          <w:sz w:val="28"/>
          <w:szCs w:val="28"/>
        </w:rPr>
        <w:t>68.4%</w:t>
      </w:r>
      <w:r>
        <w:rPr>
          <w:rFonts w:hint="eastAsia"/>
          <w:sz w:val="28"/>
          <w:szCs w:val="28"/>
        </w:rPr>
        <w:t>，装备制造业、生物与医药工业、农副食品加工业、建材工业和光电子信息工业分别完成增加值</w:t>
      </w:r>
      <w:r>
        <w:rPr>
          <w:rFonts w:hint="eastAsia"/>
          <w:sz w:val="28"/>
          <w:szCs w:val="28"/>
        </w:rPr>
        <w:t>197.7</w:t>
      </w:r>
      <w:r>
        <w:rPr>
          <w:rFonts w:hint="eastAsia"/>
          <w:sz w:val="28"/>
          <w:szCs w:val="28"/>
        </w:rPr>
        <w:t>亿元、</w:t>
      </w:r>
      <w:r>
        <w:rPr>
          <w:rFonts w:hint="eastAsia"/>
          <w:sz w:val="28"/>
          <w:szCs w:val="28"/>
        </w:rPr>
        <w:t>77.7</w:t>
      </w:r>
      <w:r>
        <w:rPr>
          <w:rFonts w:hint="eastAsia"/>
          <w:sz w:val="28"/>
          <w:szCs w:val="28"/>
        </w:rPr>
        <w:t>亿元、</w:t>
      </w:r>
      <w:r>
        <w:rPr>
          <w:rFonts w:hint="eastAsia"/>
          <w:sz w:val="28"/>
          <w:szCs w:val="28"/>
        </w:rPr>
        <w:t>55.2</w:t>
      </w:r>
      <w:r>
        <w:rPr>
          <w:rFonts w:hint="eastAsia"/>
          <w:sz w:val="28"/>
          <w:szCs w:val="28"/>
        </w:rPr>
        <w:t>亿元、</w:t>
      </w:r>
      <w:r>
        <w:rPr>
          <w:rFonts w:hint="eastAsia"/>
          <w:sz w:val="28"/>
          <w:szCs w:val="28"/>
        </w:rPr>
        <w:t>30.9</w:t>
      </w:r>
      <w:r>
        <w:rPr>
          <w:rFonts w:hint="eastAsia"/>
          <w:sz w:val="28"/>
          <w:szCs w:val="28"/>
        </w:rPr>
        <w:t>亿元和</w:t>
      </w:r>
      <w:r>
        <w:rPr>
          <w:rFonts w:hint="eastAsia"/>
          <w:sz w:val="28"/>
          <w:szCs w:val="28"/>
        </w:rPr>
        <w:t>17.1</w:t>
      </w:r>
      <w:r>
        <w:rPr>
          <w:rFonts w:hint="eastAsia"/>
          <w:sz w:val="28"/>
          <w:szCs w:val="28"/>
        </w:rPr>
        <w:t>亿元。产值前</w:t>
      </w:r>
      <w:r>
        <w:rPr>
          <w:rFonts w:hint="eastAsia"/>
          <w:sz w:val="28"/>
          <w:szCs w:val="28"/>
        </w:rPr>
        <w:t>30</w:t>
      </w:r>
      <w:r>
        <w:rPr>
          <w:rFonts w:hint="eastAsia"/>
          <w:sz w:val="28"/>
          <w:szCs w:val="28"/>
        </w:rPr>
        <w:t>户重点工业企业占规模以上工业的比重达到</w:t>
      </w:r>
      <w:r>
        <w:rPr>
          <w:rFonts w:hint="eastAsia"/>
          <w:sz w:val="28"/>
          <w:szCs w:val="28"/>
        </w:rPr>
        <w:t>75.3%</w:t>
      </w:r>
      <w:r>
        <w:rPr>
          <w:rFonts w:hint="eastAsia"/>
          <w:sz w:val="28"/>
          <w:szCs w:val="28"/>
        </w:rPr>
        <w:t>。</w:t>
      </w:r>
    </w:p>
    <w:p w:rsidR="005A1ADB" w:rsidRDefault="000B6ECF">
      <w:pPr>
        <w:widowControl/>
        <w:spacing w:after="120" w:line="300" w:lineRule="auto"/>
        <w:jc w:val="center"/>
      </w:pPr>
      <w:r>
        <w:rPr>
          <w:noProof/>
        </w:rPr>
        <w:drawing>
          <wp:inline distT="0" distB="0" distL="114300" distR="114300">
            <wp:extent cx="3815080" cy="2240280"/>
            <wp:effectExtent l="5080" t="4445" r="15240" b="1587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1ADB" w:rsidRDefault="000B6ECF">
      <w:pPr>
        <w:pStyle w:val="a4"/>
        <w:jc w:val="center"/>
      </w:pPr>
      <w:r>
        <w:t>图</w:t>
      </w:r>
      <w:r>
        <w:t xml:space="preserve"> </w:t>
      </w:r>
      <w:r w:rsidR="005A1ADB">
        <w:fldChar w:fldCharType="begin"/>
      </w:r>
      <w:r>
        <w:instrText xml:space="preserve"> SEQ </w:instrText>
      </w:r>
      <w:r>
        <w:instrText>图</w:instrText>
      </w:r>
      <w:r>
        <w:instrText xml:space="preserve"> \* ARABIC </w:instrText>
      </w:r>
      <w:r w:rsidR="005A1ADB">
        <w:fldChar w:fldCharType="separate"/>
      </w:r>
      <w:r>
        <w:t>1</w:t>
      </w:r>
      <w:r w:rsidR="005A1ADB">
        <w:fldChar w:fldCharType="end"/>
      </w:r>
      <w:r>
        <w:rPr>
          <w:rFonts w:hint="eastAsia"/>
        </w:rPr>
        <w:tab/>
      </w:r>
      <w:r>
        <w:rPr>
          <w:rFonts w:hint="eastAsia"/>
        </w:rPr>
        <w:tab/>
        <w:t>2020</w:t>
      </w:r>
      <w:r>
        <w:rPr>
          <w:rFonts w:hint="eastAsia"/>
        </w:rPr>
        <w:t>年长春市规模以上工业增加值行业构成</w:t>
      </w:r>
    </w:p>
    <w:p w:rsidR="005A1ADB" w:rsidRDefault="000B6ECF">
      <w:pPr>
        <w:widowControl/>
        <w:spacing w:after="120" w:line="300" w:lineRule="auto"/>
        <w:ind w:firstLineChars="200" w:firstLine="560"/>
        <w:rPr>
          <w:sz w:val="28"/>
          <w:szCs w:val="28"/>
        </w:rPr>
      </w:pPr>
      <w:r>
        <w:rPr>
          <w:rFonts w:hint="eastAsia"/>
          <w:sz w:val="28"/>
          <w:szCs w:val="28"/>
        </w:rPr>
        <w:t>2020</w:t>
      </w:r>
      <w:r>
        <w:rPr>
          <w:rFonts w:hint="eastAsia"/>
          <w:sz w:val="28"/>
          <w:szCs w:val="28"/>
        </w:rPr>
        <w:t>年全市能源消费总量</w:t>
      </w:r>
      <w:r>
        <w:rPr>
          <w:rFonts w:hint="eastAsia"/>
          <w:sz w:val="28"/>
          <w:szCs w:val="28"/>
        </w:rPr>
        <w:t>1910.89</w:t>
      </w:r>
      <w:r>
        <w:rPr>
          <w:rFonts w:hint="eastAsia"/>
          <w:sz w:val="28"/>
          <w:szCs w:val="28"/>
        </w:rPr>
        <w:t>万吨标准煤。全市规模以上工业综合能源消耗量为</w:t>
      </w:r>
      <w:r>
        <w:rPr>
          <w:rFonts w:hint="eastAsia"/>
          <w:sz w:val="28"/>
          <w:szCs w:val="28"/>
        </w:rPr>
        <w:t>963.2</w:t>
      </w:r>
      <w:r>
        <w:rPr>
          <w:rFonts w:hint="eastAsia"/>
          <w:sz w:val="28"/>
          <w:szCs w:val="28"/>
        </w:rPr>
        <w:t>万吨标准煤，约占全市能源消耗总量的比重的</w:t>
      </w:r>
      <w:r>
        <w:rPr>
          <w:rFonts w:hint="eastAsia"/>
          <w:sz w:val="28"/>
          <w:szCs w:val="28"/>
        </w:rPr>
        <w:t>1/2</w:t>
      </w:r>
      <w:r>
        <w:rPr>
          <w:rFonts w:hint="eastAsia"/>
          <w:sz w:val="28"/>
          <w:szCs w:val="28"/>
        </w:rPr>
        <w:t>。</w:t>
      </w:r>
    </w:p>
    <w:p w:rsidR="005A1ADB" w:rsidRDefault="000B6ECF">
      <w:pPr>
        <w:widowControl/>
        <w:adjustRightInd w:val="0"/>
        <w:snapToGrid w:val="0"/>
        <w:spacing w:line="360" w:lineRule="auto"/>
        <w:ind w:firstLineChars="253" w:firstLine="708"/>
        <w:rPr>
          <w:sz w:val="28"/>
          <w:szCs w:val="28"/>
        </w:rPr>
      </w:pPr>
      <w:r>
        <w:rPr>
          <w:rFonts w:hint="eastAsia"/>
          <w:sz w:val="28"/>
          <w:szCs w:val="28"/>
        </w:rPr>
        <w:lastRenderedPageBreak/>
        <w:t>在工业绿色发展方面，近年来，长春市以培育绿色工厂示范为着力点，全面构建绿色制造体系，加快推进制造业绿色转型，围绕汽车制造、生物医药、新能源、新材料等重点领域已培育国家</w:t>
      </w:r>
      <w:r>
        <w:rPr>
          <w:rFonts w:hint="eastAsia"/>
          <w:sz w:val="28"/>
          <w:szCs w:val="28"/>
        </w:rPr>
        <w:t>级绿色制造示范项目企业</w:t>
      </w:r>
      <w:r>
        <w:rPr>
          <w:rFonts w:hint="eastAsia"/>
          <w:sz w:val="28"/>
          <w:szCs w:val="28"/>
        </w:rPr>
        <w:t>37</w:t>
      </w:r>
      <w:r>
        <w:rPr>
          <w:rFonts w:hint="eastAsia"/>
          <w:sz w:val="28"/>
          <w:szCs w:val="28"/>
        </w:rPr>
        <w:t>个，其中绿色工厂</w:t>
      </w:r>
      <w:r>
        <w:rPr>
          <w:rFonts w:hint="eastAsia"/>
          <w:sz w:val="28"/>
          <w:szCs w:val="28"/>
        </w:rPr>
        <w:t>24</w:t>
      </w:r>
      <w:r>
        <w:rPr>
          <w:rFonts w:hint="eastAsia"/>
          <w:sz w:val="28"/>
          <w:szCs w:val="28"/>
        </w:rPr>
        <w:t>个、绿色园区</w:t>
      </w:r>
      <w:r>
        <w:rPr>
          <w:rFonts w:hint="eastAsia"/>
          <w:sz w:val="28"/>
          <w:szCs w:val="28"/>
        </w:rPr>
        <w:t>2</w:t>
      </w:r>
      <w:r>
        <w:rPr>
          <w:rFonts w:hint="eastAsia"/>
          <w:sz w:val="28"/>
          <w:szCs w:val="28"/>
        </w:rPr>
        <w:t>个、绿色供应链</w:t>
      </w:r>
      <w:r>
        <w:rPr>
          <w:rFonts w:hint="eastAsia"/>
          <w:sz w:val="28"/>
          <w:szCs w:val="28"/>
        </w:rPr>
        <w:t>2</w:t>
      </w:r>
      <w:r>
        <w:rPr>
          <w:rFonts w:hint="eastAsia"/>
          <w:sz w:val="28"/>
          <w:szCs w:val="28"/>
        </w:rPr>
        <w:t>个、绿色设计产品</w:t>
      </w:r>
      <w:r>
        <w:rPr>
          <w:rFonts w:hint="eastAsia"/>
          <w:sz w:val="28"/>
          <w:szCs w:val="28"/>
        </w:rPr>
        <w:t>9</w:t>
      </w:r>
      <w:r>
        <w:rPr>
          <w:rFonts w:hint="eastAsia"/>
          <w:sz w:val="28"/>
          <w:szCs w:val="28"/>
        </w:rPr>
        <w:t>个。省级绿色制造示范项目企业</w:t>
      </w:r>
      <w:r>
        <w:rPr>
          <w:rFonts w:hint="eastAsia"/>
          <w:sz w:val="28"/>
          <w:szCs w:val="28"/>
        </w:rPr>
        <w:t>68</w:t>
      </w:r>
      <w:r>
        <w:rPr>
          <w:rFonts w:hint="eastAsia"/>
          <w:sz w:val="28"/>
          <w:szCs w:val="28"/>
        </w:rPr>
        <w:t>个，其中绿色工厂</w:t>
      </w:r>
      <w:r>
        <w:rPr>
          <w:rFonts w:hint="eastAsia"/>
          <w:sz w:val="28"/>
          <w:szCs w:val="28"/>
        </w:rPr>
        <w:t>57</w:t>
      </w:r>
      <w:r>
        <w:rPr>
          <w:rFonts w:hint="eastAsia"/>
          <w:sz w:val="28"/>
          <w:szCs w:val="28"/>
        </w:rPr>
        <w:t>个、绿色园区</w:t>
      </w:r>
      <w:r>
        <w:rPr>
          <w:rFonts w:hint="eastAsia"/>
          <w:sz w:val="28"/>
          <w:szCs w:val="28"/>
        </w:rPr>
        <w:t>1</w:t>
      </w:r>
      <w:r>
        <w:rPr>
          <w:rFonts w:hint="eastAsia"/>
          <w:sz w:val="28"/>
          <w:szCs w:val="28"/>
        </w:rPr>
        <w:t>个、绿色供应链</w:t>
      </w:r>
      <w:r>
        <w:rPr>
          <w:rFonts w:hint="eastAsia"/>
          <w:sz w:val="28"/>
          <w:szCs w:val="28"/>
        </w:rPr>
        <w:t>12</w:t>
      </w:r>
      <w:r>
        <w:rPr>
          <w:rFonts w:hint="eastAsia"/>
          <w:sz w:val="28"/>
          <w:szCs w:val="28"/>
        </w:rPr>
        <w:t>个（其中</w:t>
      </w:r>
      <w:r>
        <w:rPr>
          <w:rFonts w:hint="eastAsia"/>
          <w:sz w:val="28"/>
          <w:szCs w:val="28"/>
        </w:rPr>
        <w:t>7</w:t>
      </w:r>
      <w:r>
        <w:rPr>
          <w:rFonts w:hint="eastAsia"/>
          <w:sz w:val="28"/>
          <w:szCs w:val="28"/>
        </w:rPr>
        <w:t>个为省级绿色工厂）、绿色设计产品</w:t>
      </w:r>
      <w:r>
        <w:rPr>
          <w:rFonts w:hint="eastAsia"/>
          <w:sz w:val="28"/>
          <w:szCs w:val="28"/>
        </w:rPr>
        <w:t>5</w:t>
      </w:r>
      <w:r>
        <w:rPr>
          <w:rFonts w:hint="eastAsia"/>
          <w:sz w:val="28"/>
          <w:szCs w:val="28"/>
        </w:rPr>
        <w:t>个。</w:t>
      </w:r>
    </w:p>
    <w:p w:rsidR="005A1ADB" w:rsidRDefault="000B6ECF">
      <w:pPr>
        <w:pStyle w:val="5"/>
        <w:rPr>
          <w:rFonts w:ascii="宋体" w:eastAsia="宋体" w:hAnsi="宋体" w:cs="宋体"/>
        </w:rPr>
      </w:pPr>
      <w:r>
        <w:rPr>
          <w:rFonts w:ascii="宋体" w:eastAsia="宋体" w:hAnsi="宋体" w:cs="宋体" w:hint="eastAsia"/>
        </w:rPr>
        <w:t>2.2.1.2</w:t>
      </w:r>
      <w:r>
        <w:rPr>
          <w:rFonts w:ascii="宋体" w:eastAsia="宋体" w:hAnsi="宋体" w:cs="宋体" w:hint="eastAsia"/>
        </w:rPr>
        <w:t>一般工业固废管理现状</w:t>
      </w:r>
    </w:p>
    <w:p w:rsidR="005A1ADB" w:rsidRDefault="000B6ECF">
      <w:pPr>
        <w:widowControl/>
        <w:spacing w:after="120" w:line="300" w:lineRule="auto"/>
        <w:ind w:firstLineChars="200" w:firstLine="560"/>
        <w:rPr>
          <w:sz w:val="28"/>
          <w:szCs w:val="28"/>
        </w:rPr>
      </w:pPr>
      <w:r>
        <w:rPr>
          <w:rFonts w:hint="eastAsia"/>
          <w:sz w:val="28"/>
          <w:szCs w:val="28"/>
        </w:rPr>
        <w:t>在工业固体废物产生方面，</w:t>
      </w:r>
      <w:r>
        <w:rPr>
          <w:rFonts w:hint="eastAsia"/>
          <w:sz w:val="28"/>
          <w:szCs w:val="28"/>
        </w:rPr>
        <w:t>2020</w:t>
      </w:r>
      <w:r>
        <w:rPr>
          <w:rFonts w:hint="eastAsia"/>
          <w:sz w:val="28"/>
          <w:szCs w:val="28"/>
        </w:rPr>
        <w:t>年长春市工业固体废物产生量为</w:t>
      </w:r>
      <w:r>
        <w:rPr>
          <w:rFonts w:hint="eastAsia"/>
          <w:sz w:val="28"/>
          <w:szCs w:val="28"/>
        </w:rPr>
        <w:t>654.93</w:t>
      </w:r>
      <w:r>
        <w:rPr>
          <w:rFonts w:hint="eastAsia"/>
          <w:sz w:val="28"/>
          <w:szCs w:val="28"/>
        </w:rPr>
        <w:t>万吨，产生强度为</w:t>
      </w:r>
      <w:r>
        <w:rPr>
          <w:rFonts w:hint="eastAsia"/>
          <w:sz w:val="28"/>
          <w:szCs w:val="28"/>
        </w:rPr>
        <w:t>445.44kg/</w:t>
      </w:r>
      <w:r>
        <w:rPr>
          <w:rFonts w:hint="eastAsia"/>
          <w:sz w:val="28"/>
          <w:szCs w:val="28"/>
        </w:rPr>
        <w:t>万元。长春市产生的工业固体废物主要包括</w:t>
      </w:r>
      <w:r>
        <w:rPr>
          <w:rFonts w:hint="eastAsia"/>
          <w:sz w:val="28"/>
          <w:szCs w:val="28"/>
        </w:rPr>
        <w:t>7</w:t>
      </w:r>
      <w:r>
        <w:rPr>
          <w:rFonts w:hint="eastAsia"/>
          <w:sz w:val="28"/>
          <w:szCs w:val="28"/>
        </w:rPr>
        <w:t>大类，即粉煤灰、炉渣、脱硫石膏、煤矸石、冶炼废渣、其他废物和污泥。其中，产生量最多的类型为粉煤灰（</w:t>
      </w:r>
      <w:r>
        <w:rPr>
          <w:rFonts w:hint="eastAsia"/>
          <w:sz w:val="28"/>
          <w:szCs w:val="28"/>
        </w:rPr>
        <w:t>50.84%</w:t>
      </w:r>
      <w:r>
        <w:rPr>
          <w:rFonts w:hint="eastAsia"/>
          <w:sz w:val="28"/>
          <w:szCs w:val="28"/>
        </w:rPr>
        <w:t>）、炉渣（</w:t>
      </w:r>
      <w:r>
        <w:rPr>
          <w:rFonts w:hint="eastAsia"/>
          <w:sz w:val="28"/>
          <w:szCs w:val="28"/>
        </w:rPr>
        <w:t>27.09%</w:t>
      </w:r>
      <w:r>
        <w:rPr>
          <w:rFonts w:hint="eastAsia"/>
          <w:sz w:val="28"/>
          <w:szCs w:val="28"/>
        </w:rPr>
        <w:t>）、其他废物（</w:t>
      </w:r>
      <w:r>
        <w:rPr>
          <w:rFonts w:hint="eastAsia"/>
          <w:sz w:val="28"/>
          <w:szCs w:val="28"/>
        </w:rPr>
        <w:t>11.57%</w:t>
      </w:r>
      <w:r>
        <w:rPr>
          <w:rFonts w:hint="eastAsia"/>
          <w:sz w:val="28"/>
          <w:szCs w:val="28"/>
        </w:rPr>
        <w:t>）和脱硫石膏（</w:t>
      </w:r>
      <w:r>
        <w:rPr>
          <w:rFonts w:hint="eastAsia"/>
          <w:sz w:val="28"/>
          <w:szCs w:val="28"/>
        </w:rPr>
        <w:t>7.86%</w:t>
      </w:r>
      <w:r>
        <w:rPr>
          <w:rFonts w:hint="eastAsia"/>
          <w:sz w:val="28"/>
          <w:szCs w:val="28"/>
        </w:rPr>
        <w:t>），四者合计占到工业固体废物总产生量的</w:t>
      </w:r>
      <w:r>
        <w:rPr>
          <w:rFonts w:hint="eastAsia"/>
          <w:sz w:val="28"/>
          <w:szCs w:val="28"/>
        </w:rPr>
        <w:t>97.35%</w:t>
      </w:r>
      <w:r>
        <w:rPr>
          <w:rFonts w:hint="eastAsia"/>
          <w:sz w:val="28"/>
          <w:szCs w:val="28"/>
        </w:rPr>
        <w:t>。</w:t>
      </w:r>
    </w:p>
    <w:p w:rsidR="005A1ADB" w:rsidRDefault="000B6ECF">
      <w:pPr>
        <w:widowControl/>
        <w:spacing w:after="120" w:line="300" w:lineRule="auto"/>
        <w:ind w:firstLineChars="200" w:firstLine="420"/>
        <w:jc w:val="center"/>
      </w:pPr>
      <w:r>
        <w:rPr>
          <w:noProof/>
        </w:rPr>
        <w:drawing>
          <wp:inline distT="0" distB="0" distL="114300" distR="114300">
            <wp:extent cx="3529330" cy="2251710"/>
            <wp:effectExtent l="4445" t="4445" r="9525" b="1714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1ADB" w:rsidRDefault="000B6ECF">
      <w:pPr>
        <w:pStyle w:val="a4"/>
        <w:widowControl/>
        <w:spacing w:after="120" w:line="300" w:lineRule="auto"/>
        <w:ind w:firstLineChars="200" w:firstLine="400"/>
        <w:jc w:val="center"/>
      </w:pPr>
      <w:r>
        <w:t>图</w:t>
      </w:r>
      <w:r>
        <w:t xml:space="preserve"> </w:t>
      </w:r>
      <w:r w:rsidR="005A1ADB">
        <w:fldChar w:fldCharType="begin"/>
      </w:r>
      <w:r>
        <w:instrText xml:space="preserve"> SEQ </w:instrText>
      </w:r>
      <w:r>
        <w:instrText>图</w:instrText>
      </w:r>
      <w:r>
        <w:instrText xml:space="preserve"> \* ARABIC </w:instrText>
      </w:r>
      <w:r w:rsidR="005A1ADB">
        <w:fldChar w:fldCharType="separate"/>
      </w:r>
      <w:r>
        <w:t>2</w:t>
      </w:r>
      <w:r w:rsidR="005A1ADB">
        <w:fldChar w:fldCharType="end"/>
      </w:r>
      <w:r>
        <w:rPr>
          <w:rFonts w:hint="eastAsia"/>
        </w:rPr>
        <w:tab/>
      </w:r>
      <w:r>
        <w:rPr>
          <w:rFonts w:hint="eastAsia"/>
        </w:rPr>
        <w:tab/>
        <w:t>2020</w:t>
      </w:r>
      <w:r>
        <w:rPr>
          <w:rFonts w:hint="eastAsia"/>
        </w:rPr>
        <w:t>年长春市一般工业固体废物产生量构成</w:t>
      </w:r>
    </w:p>
    <w:p w:rsidR="005A1ADB" w:rsidRDefault="000B6ECF">
      <w:pPr>
        <w:widowControl/>
        <w:spacing w:after="120" w:line="300" w:lineRule="auto"/>
        <w:ind w:firstLineChars="200" w:firstLine="560"/>
        <w:rPr>
          <w:sz w:val="28"/>
          <w:szCs w:val="28"/>
        </w:rPr>
      </w:pPr>
      <w:r>
        <w:rPr>
          <w:rFonts w:hint="eastAsia"/>
          <w:sz w:val="28"/>
          <w:szCs w:val="28"/>
        </w:rPr>
        <w:lastRenderedPageBreak/>
        <w:t>受能源消费构成和冬季供暖的影响，</w:t>
      </w:r>
      <w:r>
        <w:rPr>
          <w:rFonts w:hint="eastAsia"/>
          <w:sz w:val="28"/>
        </w:rPr>
        <w:t>长春市工业</w:t>
      </w:r>
      <w:r>
        <w:rPr>
          <w:rFonts w:hint="eastAsia"/>
          <w:sz w:val="28"/>
          <w:szCs w:val="28"/>
        </w:rPr>
        <w:t>固体</w:t>
      </w:r>
      <w:r>
        <w:rPr>
          <w:rFonts w:hint="eastAsia"/>
          <w:sz w:val="28"/>
        </w:rPr>
        <w:t>废物产生结构与城市煤炭消费量高度相关，</w:t>
      </w:r>
      <w:r>
        <w:rPr>
          <w:rFonts w:hint="eastAsia"/>
          <w:sz w:val="28"/>
        </w:rPr>
        <w:t>2020</w:t>
      </w:r>
      <w:r>
        <w:rPr>
          <w:rFonts w:hint="eastAsia"/>
          <w:sz w:val="28"/>
        </w:rPr>
        <w:t>年长春市工业</w:t>
      </w:r>
      <w:r>
        <w:rPr>
          <w:rFonts w:hint="eastAsia"/>
          <w:sz w:val="28"/>
          <w:szCs w:val="28"/>
        </w:rPr>
        <w:t>固体</w:t>
      </w:r>
      <w:r>
        <w:rPr>
          <w:rFonts w:hint="eastAsia"/>
          <w:sz w:val="28"/>
        </w:rPr>
        <w:t>废物产生量前五位的企业均为供电或热电企业，其工业</w:t>
      </w:r>
      <w:r>
        <w:rPr>
          <w:rFonts w:hint="eastAsia"/>
          <w:sz w:val="28"/>
          <w:szCs w:val="28"/>
        </w:rPr>
        <w:t>固体</w:t>
      </w:r>
      <w:r>
        <w:rPr>
          <w:rFonts w:hint="eastAsia"/>
          <w:sz w:val="28"/>
        </w:rPr>
        <w:t>废物产生量占到全市工业</w:t>
      </w:r>
      <w:r>
        <w:rPr>
          <w:rFonts w:hint="eastAsia"/>
          <w:sz w:val="28"/>
          <w:szCs w:val="28"/>
        </w:rPr>
        <w:t>固体</w:t>
      </w:r>
      <w:r>
        <w:rPr>
          <w:rFonts w:hint="eastAsia"/>
          <w:sz w:val="28"/>
        </w:rPr>
        <w:t>废物总产生量的</w:t>
      </w:r>
      <w:r>
        <w:rPr>
          <w:rFonts w:hint="eastAsia"/>
          <w:sz w:val="28"/>
        </w:rPr>
        <w:t>50.23%</w:t>
      </w:r>
      <w:r>
        <w:rPr>
          <w:rFonts w:hint="eastAsia"/>
          <w:sz w:val="28"/>
        </w:rPr>
        <w:t>，且产生的废物种类相似，主要为粉煤灰、</w:t>
      </w:r>
      <w:r>
        <w:rPr>
          <w:rFonts w:hint="eastAsia"/>
          <w:sz w:val="28"/>
          <w:szCs w:val="28"/>
        </w:rPr>
        <w:t>炉渣</w:t>
      </w:r>
      <w:r>
        <w:rPr>
          <w:rFonts w:hint="eastAsia"/>
          <w:sz w:val="28"/>
        </w:rPr>
        <w:t>和</w:t>
      </w:r>
      <w:r>
        <w:rPr>
          <w:rFonts w:hint="eastAsia"/>
          <w:sz w:val="28"/>
          <w:szCs w:val="28"/>
        </w:rPr>
        <w:t>脱硫石膏</w:t>
      </w:r>
      <w:r>
        <w:rPr>
          <w:rFonts w:hint="eastAsia"/>
          <w:sz w:val="28"/>
        </w:rPr>
        <w:t>。因此，优化长春市能源消费结构是降低长春市</w:t>
      </w:r>
      <w:r>
        <w:rPr>
          <w:rFonts w:hint="eastAsia"/>
          <w:sz w:val="28"/>
          <w:szCs w:val="28"/>
        </w:rPr>
        <w:t>工业固体废物产生强度、促进减污降碳协同增效的有效</w:t>
      </w:r>
      <w:r>
        <w:rPr>
          <w:rFonts w:hint="eastAsia"/>
          <w:sz w:val="28"/>
        </w:rPr>
        <w:t>途径之一。</w:t>
      </w:r>
    </w:p>
    <w:p w:rsidR="005A1ADB" w:rsidRDefault="000B6ECF">
      <w:pPr>
        <w:adjustRightInd w:val="0"/>
        <w:snapToGrid w:val="0"/>
        <w:spacing w:line="360" w:lineRule="auto"/>
        <w:ind w:firstLineChars="253" w:firstLine="708"/>
        <w:rPr>
          <w:sz w:val="28"/>
          <w:szCs w:val="28"/>
        </w:rPr>
      </w:pPr>
      <w:r>
        <w:rPr>
          <w:rFonts w:hint="eastAsia"/>
          <w:sz w:val="28"/>
          <w:szCs w:val="28"/>
        </w:rPr>
        <w:t>在工业固体废物综合利用方面，</w:t>
      </w:r>
      <w:r>
        <w:rPr>
          <w:rFonts w:hint="eastAsia"/>
          <w:sz w:val="28"/>
          <w:szCs w:val="28"/>
        </w:rPr>
        <w:t>2020</w:t>
      </w:r>
      <w:r>
        <w:rPr>
          <w:rFonts w:hint="eastAsia"/>
          <w:sz w:val="28"/>
          <w:szCs w:val="28"/>
        </w:rPr>
        <w:t>年长春市工业固体废物综合利用量为</w:t>
      </w:r>
      <w:r>
        <w:rPr>
          <w:rFonts w:hint="eastAsia"/>
          <w:sz w:val="28"/>
          <w:szCs w:val="28"/>
        </w:rPr>
        <w:t>599.64</w:t>
      </w:r>
      <w:r>
        <w:rPr>
          <w:rFonts w:hint="eastAsia"/>
          <w:sz w:val="28"/>
          <w:szCs w:val="28"/>
        </w:rPr>
        <w:t>万吨，其中综合利用往年贮存量</w:t>
      </w:r>
      <w:r>
        <w:rPr>
          <w:rFonts w:hint="eastAsia"/>
          <w:sz w:val="28"/>
          <w:szCs w:val="28"/>
        </w:rPr>
        <w:t>64.29</w:t>
      </w:r>
      <w:r>
        <w:rPr>
          <w:rFonts w:hint="eastAsia"/>
          <w:sz w:val="28"/>
          <w:szCs w:val="28"/>
        </w:rPr>
        <w:t>万吨，工业固体废物综合利用率为</w:t>
      </w:r>
      <w:r>
        <w:rPr>
          <w:rFonts w:hint="eastAsia"/>
          <w:sz w:val="28"/>
          <w:szCs w:val="28"/>
        </w:rPr>
        <w:t>83.37%</w:t>
      </w:r>
      <w:r>
        <w:rPr>
          <w:rFonts w:hint="eastAsia"/>
          <w:sz w:val="28"/>
          <w:szCs w:val="28"/>
        </w:rPr>
        <w:t>。其中，利用量最多</w:t>
      </w:r>
      <w:r>
        <w:rPr>
          <w:rFonts w:hint="eastAsia"/>
          <w:sz w:val="28"/>
          <w:szCs w:val="28"/>
        </w:rPr>
        <w:t>的类型为粉煤灰（</w:t>
      </w:r>
      <w:r>
        <w:rPr>
          <w:rFonts w:hint="eastAsia"/>
          <w:sz w:val="28"/>
          <w:szCs w:val="28"/>
        </w:rPr>
        <w:t>50.53%</w:t>
      </w:r>
      <w:r>
        <w:rPr>
          <w:rFonts w:hint="eastAsia"/>
          <w:sz w:val="28"/>
          <w:szCs w:val="28"/>
        </w:rPr>
        <w:t>）、炉渣（</w:t>
      </w:r>
      <w:r>
        <w:rPr>
          <w:rFonts w:hint="eastAsia"/>
          <w:sz w:val="28"/>
          <w:szCs w:val="28"/>
        </w:rPr>
        <w:t>24.66%</w:t>
      </w:r>
      <w:r>
        <w:rPr>
          <w:rFonts w:hint="eastAsia"/>
          <w:sz w:val="28"/>
          <w:szCs w:val="28"/>
        </w:rPr>
        <w:t>）、煤矸石（</w:t>
      </w:r>
      <w:r>
        <w:rPr>
          <w:rFonts w:hint="eastAsia"/>
          <w:sz w:val="28"/>
          <w:szCs w:val="28"/>
        </w:rPr>
        <w:t>9.36%</w:t>
      </w:r>
      <w:r>
        <w:rPr>
          <w:rFonts w:hint="eastAsia"/>
          <w:sz w:val="28"/>
          <w:szCs w:val="28"/>
        </w:rPr>
        <w:t>）和脱硫石膏（</w:t>
      </w:r>
      <w:r>
        <w:rPr>
          <w:rFonts w:hint="eastAsia"/>
          <w:sz w:val="28"/>
          <w:szCs w:val="28"/>
        </w:rPr>
        <w:t>7.81%</w:t>
      </w:r>
      <w:r>
        <w:rPr>
          <w:rFonts w:hint="eastAsia"/>
          <w:sz w:val="28"/>
          <w:szCs w:val="28"/>
        </w:rPr>
        <w:t>），四者合计占到工业固体废物利用量的</w:t>
      </w:r>
      <w:r>
        <w:rPr>
          <w:rFonts w:hint="eastAsia"/>
          <w:sz w:val="28"/>
          <w:szCs w:val="28"/>
        </w:rPr>
        <w:t>92.35%</w:t>
      </w:r>
      <w:r>
        <w:rPr>
          <w:rFonts w:hint="eastAsia"/>
          <w:sz w:val="28"/>
          <w:szCs w:val="28"/>
        </w:rPr>
        <w:t>。</w:t>
      </w:r>
    </w:p>
    <w:p w:rsidR="005A1ADB" w:rsidRDefault="000B6ECF">
      <w:pPr>
        <w:adjustRightInd w:val="0"/>
        <w:snapToGrid w:val="0"/>
        <w:spacing w:line="360" w:lineRule="auto"/>
        <w:ind w:firstLineChars="253" w:firstLine="531"/>
        <w:jc w:val="center"/>
      </w:pPr>
      <w:r>
        <w:rPr>
          <w:noProof/>
        </w:rPr>
        <w:drawing>
          <wp:inline distT="0" distB="0" distL="114300" distR="114300">
            <wp:extent cx="3457575" cy="2150745"/>
            <wp:effectExtent l="5080" t="4445" r="4445" b="1651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1ADB" w:rsidRDefault="000B6ECF">
      <w:pPr>
        <w:pStyle w:val="a4"/>
        <w:widowControl/>
        <w:spacing w:after="120" w:line="300" w:lineRule="auto"/>
        <w:ind w:firstLineChars="200" w:firstLine="400"/>
        <w:jc w:val="center"/>
      </w:pPr>
      <w:r>
        <w:t>图</w:t>
      </w:r>
      <w:r>
        <w:t xml:space="preserve"> </w:t>
      </w:r>
      <w:r w:rsidR="005A1ADB">
        <w:fldChar w:fldCharType="begin"/>
      </w:r>
      <w:r>
        <w:instrText xml:space="preserve"> SEQ </w:instrText>
      </w:r>
      <w:r>
        <w:instrText>图</w:instrText>
      </w:r>
      <w:r>
        <w:instrText xml:space="preserve"> \* ARABIC </w:instrText>
      </w:r>
      <w:r w:rsidR="005A1ADB">
        <w:fldChar w:fldCharType="separate"/>
      </w:r>
      <w:r>
        <w:t>3</w:t>
      </w:r>
      <w:r w:rsidR="005A1ADB">
        <w:fldChar w:fldCharType="end"/>
      </w:r>
      <w:r>
        <w:rPr>
          <w:rFonts w:hint="eastAsia"/>
        </w:rPr>
        <w:tab/>
      </w:r>
      <w:r>
        <w:rPr>
          <w:rFonts w:hint="eastAsia"/>
        </w:rPr>
        <w:tab/>
        <w:t>2020</w:t>
      </w:r>
      <w:r>
        <w:rPr>
          <w:rFonts w:hint="eastAsia"/>
        </w:rPr>
        <w:t>年长春市一般工业固体废物综合利用量构成</w:t>
      </w:r>
    </w:p>
    <w:p w:rsidR="005A1ADB" w:rsidRDefault="000B6ECF">
      <w:pPr>
        <w:adjustRightInd w:val="0"/>
        <w:snapToGrid w:val="0"/>
        <w:spacing w:line="360" w:lineRule="auto"/>
        <w:ind w:firstLineChars="253" w:firstLine="708"/>
        <w:rPr>
          <w:sz w:val="28"/>
          <w:szCs w:val="28"/>
        </w:rPr>
      </w:pPr>
      <w:r>
        <w:rPr>
          <w:rFonts w:hint="eastAsia"/>
          <w:sz w:val="28"/>
          <w:szCs w:val="28"/>
        </w:rPr>
        <w:t>在工业固体废物贮存方面，</w:t>
      </w:r>
      <w:r>
        <w:rPr>
          <w:rFonts w:hint="eastAsia"/>
          <w:sz w:val="28"/>
          <w:szCs w:val="28"/>
        </w:rPr>
        <w:t>2020</w:t>
      </w:r>
      <w:r>
        <w:rPr>
          <w:rFonts w:hint="eastAsia"/>
          <w:sz w:val="28"/>
          <w:szCs w:val="28"/>
        </w:rPr>
        <w:t>年长春市工业固体废物贮存量为</w:t>
      </w:r>
      <w:r>
        <w:rPr>
          <w:rFonts w:hint="eastAsia"/>
          <w:sz w:val="28"/>
          <w:szCs w:val="28"/>
        </w:rPr>
        <w:t>5.09</w:t>
      </w:r>
      <w:r>
        <w:rPr>
          <w:rFonts w:hint="eastAsia"/>
          <w:sz w:val="28"/>
          <w:szCs w:val="28"/>
        </w:rPr>
        <w:t>万吨，其中，贮存量最多的类型为炉渣（</w:t>
      </w:r>
      <w:r>
        <w:rPr>
          <w:rFonts w:hint="eastAsia"/>
          <w:sz w:val="28"/>
          <w:szCs w:val="28"/>
        </w:rPr>
        <w:t>83.77%</w:t>
      </w:r>
      <w:r>
        <w:rPr>
          <w:rFonts w:hint="eastAsia"/>
          <w:sz w:val="28"/>
          <w:szCs w:val="28"/>
        </w:rPr>
        <w:t>）和煤矸石（</w:t>
      </w:r>
      <w:r>
        <w:rPr>
          <w:rFonts w:hint="eastAsia"/>
          <w:sz w:val="28"/>
          <w:szCs w:val="28"/>
        </w:rPr>
        <w:t>9.82%</w:t>
      </w:r>
      <w:r>
        <w:rPr>
          <w:rFonts w:hint="eastAsia"/>
          <w:sz w:val="28"/>
          <w:szCs w:val="28"/>
        </w:rPr>
        <w:t>），两者合计占到工业固体废物贮存量的</w:t>
      </w:r>
      <w:r>
        <w:rPr>
          <w:rFonts w:hint="eastAsia"/>
          <w:sz w:val="28"/>
          <w:szCs w:val="28"/>
        </w:rPr>
        <w:t>93.60%</w:t>
      </w:r>
      <w:r>
        <w:rPr>
          <w:rFonts w:hint="eastAsia"/>
          <w:sz w:val="28"/>
          <w:szCs w:val="28"/>
        </w:rPr>
        <w:t>。</w:t>
      </w:r>
    </w:p>
    <w:p w:rsidR="005A1ADB" w:rsidRDefault="000B6ECF">
      <w:pPr>
        <w:adjustRightInd w:val="0"/>
        <w:snapToGrid w:val="0"/>
        <w:spacing w:line="360" w:lineRule="auto"/>
        <w:ind w:firstLineChars="253" w:firstLine="708"/>
        <w:rPr>
          <w:sz w:val="28"/>
          <w:szCs w:val="28"/>
        </w:rPr>
      </w:pPr>
      <w:r>
        <w:rPr>
          <w:rFonts w:hint="eastAsia"/>
          <w:sz w:val="28"/>
          <w:szCs w:val="28"/>
        </w:rPr>
        <w:t>在工业固体废物处置方面，</w:t>
      </w:r>
      <w:r>
        <w:rPr>
          <w:rFonts w:hint="eastAsia"/>
          <w:sz w:val="28"/>
          <w:szCs w:val="28"/>
        </w:rPr>
        <w:t>2020</w:t>
      </w:r>
      <w:r>
        <w:rPr>
          <w:rFonts w:hint="eastAsia"/>
          <w:sz w:val="28"/>
          <w:szCs w:val="28"/>
        </w:rPr>
        <w:t>年长春市工业固体废物处置量为</w:t>
      </w:r>
      <w:r>
        <w:rPr>
          <w:rFonts w:hint="eastAsia"/>
          <w:sz w:val="28"/>
          <w:szCs w:val="28"/>
        </w:rPr>
        <w:t>115.68</w:t>
      </w:r>
      <w:r>
        <w:rPr>
          <w:rFonts w:hint="eastAsia"/>
          <w:sz w:val="28"/>
          <w:szCs w:val="28"/>
        </w:rPr>
        <w:t>万吨，其中，处置量最多的类型为粉煤灰（</w:t>
      </w:r>
      <w:r>
        <w:rPr>
          <w:rFonts w:hint="eastAsia"/>
          <w:sz w:val="28"/>
          <w:szCs w:val="28"/>
        </w:rPr>
        <w:t>38.82%</w:t>
      </w:r>
      <w:r>
        <w:rPr>
          <w:rFonts w:hint="eastAsia"/>
          <w:sz w:val="28"/>
          <w:szCs w:val="28"/>
        </w:rPr>
        <w:t>）、其他废物（</w:t>
      </w:r>
      <w:r>
        <w:rPr>
          <w:rFonts w:hint="eastAsia"/>
          <w:sz w:val="28"/>
          <w:szCs w:val="28"/>
        </w:rPr>
        <w:t>28.73%</w:t>
      </w:r>
      <w:r>
        <w:rPr>
          <w:rFonts w:hint="eastAsia"/>
          <w:sz w:val="28"/>
          <w:szCs w:val="28"/>
        </w:rPr>
        <w:t>）、炉渣（</w:t>
      </w:r>
      <w:r>
        <w:rPr>
          <w:rFonts w:hint="eastAsia"/>
          <w:sz w:val="28"/>
          <w:szCs w:val="28"/>
        </w:rPr>
        <w:t>22.14%</w:t>
      </w:r>
      <w:r>
        <w:rPr>
          <w:rFonts w:hint="eastAsia"/>
          <w:sz w:val="28"/>
          <w:szCs w:val="28"/>
        </w:rPr>
        <w:t>）和冶炼废渣（</w:t>
      </w:r>
      <w:r>
        <w:rPr>
          <w:rFonts w:hint="eastAsia"/>
          <w:sz w:val="28"/>
          <w:szCs w:val="28"/>
        </w:rPr>
        <w:t>5.81%</w:t>
      </w:r>
      <w:r>
        <w:rPr>
          <w:rFonts w:hint="eastAsia"/>
          <w:sz w:val="28"/>
          <w:szCs w:val="28"/>
        </w:rPr>
        <w:t>），四者合</w:t>
      </w:r>
      <w:r>
        <w:rPr>
          <w:rFonts w:hint="eastAsia"/>
          <w:sz w:val="28"/>
          <w:szCs w:val="28"/>
        </w:rPr>
        <w:lastRenderedPageBreak/>
        <w:t>计占到工业固体废物处置量的</w:t>
      </w:r>
      <w:r>
        <w:rPr>
          <w:rFonts w:hint="eastAsia"/>
          <w:sz w:val="28"/>
          <w:szCs w:val="28"/>
        </w:rPr>
        <w:t>95.49%</w:t>
      </w:r>
      <w:r>
        <w:rPr>
          <w:rFonts w:hint="eastAsia"/>
          <w:sz w:val="28"/>
          <w:szCs w:val="28"/>
        </w:rPr>
        <w:t>。</w:t>
      </w:r>
    </w:p>
    <w:p w:rsidR="005A1ADB" w:rsidRDefault="000B6ECF">
      <w:pPr>
        <w:pStyle w:val="5"/>
        <w:rPr>
          <w:rFonts w:ascii="宋体" w:eastAsia="宋体" w:hAnsi="宋体" w:cs="宋体"/>
        </w:rPr>
      </w:pPr>
      <w:r>
        <w:rPr>
          <w:rFonts w:ascii="宋体" w:eastAsia="宋体" w:hAnsi="宋体" w:cs="宋体" w:hint="eastAsia"/>
        </w:rPr>
        <w:t>2.2.1.3</w:t>
      </w:r>
      <w:r>
        <w:rPr>
          <w:rFonts w:ascii="宋体" w:eastAsia="宋体" w:hAnsi="宋体" w:cs="宋体" w:hint="eastAsia"/>
        </w:rPr>
        <w:t>一般工业固废产生预测</w:t>
      </w:r>
    </w:p>
    <w:p w:rsidR="005A1ADB" w:rsidRDefault="000B6ECF">
      <w:pPr>
        <w:adjustRightInd w:val="0"/>
        <w:snapToGrid w:val="0"/>
        <w:spacing w:line="360" w:lineRule="auto"/>
        <w:ind w:firstLineChars="253" w:firstLine="708"/>
        <w:rPr>
          <w:sz w:val="28"/>
          <w:szCs w:val="28"/>
        </w:rPr>
      </w:pPr>
      <w:r>
        <w:rPr>
          <w:sz w:val="28"/>
          <w:szCs w:val="28"/>
        </w:rPr>
        <w:t>根据</w:t>
      </w:r>
      <w:r>
        <w:rPr>
          <w:rFonts w:hint="eastAsia"/>
          <w:sz w:val="28"/>
          <w:szCs w:val="28"/>
        </w:rPr>
        <w:t>2</w:t>
      </w:r>
      <w:r>
        <w:rPr>
          <w:sz w:val="28"/>
          <w:szCs w:val="28"/>
        </w:rPr>
        <w:t>015-2020</w:t>
      </w:r>
      <w:r>
        <w:rPr>
          <w:sz w:val="28"/>
          <w:szCs w:val="28"/>
        </w:rPr>
        <w:t>年长春市工业增加值和一般工业固废产生量，计算得到历年的一般工业固废产生强度。由于一般工业固废产生强度必为正值，因此，需采用非线性回归模型进行拟合</w:t>
      </w:r>
      <w:r>
        <w:rPr>
          <w:rFonts w:hint="eastAsia"/>
          <w:sz w:val="28"/>
          <w:szCs w:val="28"/>
        </w:rPr>
        <w:t>。分别</w:t>
      </w:r>
      <w:r>
        <w:rPr>
          <w:sz w:val="28"/>
          <w:szCs w:val="28"/>
        </w:rPr>
        <w:t>采用</w:t>
      </w:r>
      <w:r>
        <w:rPr>
          <w:rFonts w:hint="eastAsia"/>
          <w:sz w:val="28"/>
          <w:szCs w:val="28"/>
        </w:rPr>
        <w:t>指数函数模型、对数函数模型和幂函数模型进行拟合，其中</w:t>
      </w:r>
      <w:r>
        <w:rPr>
          <w:sz w:val="28"/>
          <w:szCs w:val="28"/>
        </w:rPr>
        <w:t>拟合优度（</w:t>
      </w:r>
      <w:r>
        <w:rPr>
          <w:rFonts w:hint="eastAsia"/>
          <w:sz w:val="28"/>
          <w:szCs w:val="28"/>
        </w:rPr>
        <w:t>R</w:t>
      </w:r>
      <w:r>
        <w:rPr>
          <w:sz w:val="28"/>
          <w:szCs w:val="28"/>
          <w:vertAlign w:val="superscript"/>
        </w:rPr>
        <w:t>2</w:t>
      </w:r>
      <w:r>
        <w:rPr>
          <w:sz w:val="28"/>
          <w:szCs w:val="28"/>
        </w:rPr>
        <w:t>）</w:t>
      </w:r>
      <w:r>
        <w:rPr>
          <w:rFonts w:hint="eastAsia"/>
          <w:sz w:val="28"/>
          <w:szCs w:val="28"/>
        </w:rPr>
        <w:t>较好</w:t>
      </w:r>
      <w:r>
        <w:rPr>
          <w:sz w:val="28"/>
          <w:szCs w:val="28"/>
        </w:rPr>
        <w:t>的为指数</w:t>
      </w:r>
      <w:r>
        <w:rPr>
          <w:rFonts w:hint="eastAsia"/>
          <w:sz w:val="28"/>
          <w:szCs w:val="28"/>
        </w:rPr>
        <w:t>函数</w:t>
      </w:r>
      <w:r>
        <w:rPr>
          <w:sz w:val="28"/>
          <w:szCs w:val="28"/>
        </w:rPr>
        <w:t>模型（</w:t>
      </w:r>
      <w:r>
        <w:rPr>
          <w:rFonts w:hint="eastAsia"/>
          <w:sz w:val="28"/>
          <w:szCs w:val="28"/>
        </w:rPr>
        <w:t>0</w:t>
      </w:r>
      <w:r>
        <w:rPr>
          <w:sz w:val="28"/>
          <w:szCs w:val="28"/>
        </w:rPr>
        <w:t>.97</w:t>
      </w:r>
      <w:r>
        <w:rPr>
          <w:sz w:val="28"/>
          <w:szCs w:val="28"/>
        </w:rPr>
        <w:t>）和对数模型（</w:t>
      </w:r>
      <w:r>
        <w:rPr>
          <w:rFonts w:hint="eastAsia"/>
          <w:sz w:val="28"/>
          <w:szCs w:val="28"/>
        </w:rPr>
        <w:t>0</w:t>
      </w:r>
      <w:r>
        <w:rPr>
          <w:sz w:val="28"/>
          <w:szCs w:val="28"/>
        </w:rPr>
        <w:t>.92</w:t>
      </w:r>
      <w:r>
        <w:rPr>
          <w:sz w:val="28"/>
          <w:szCs w:val="28"/>
        </w:rPr>
        <w:t>）</w:t>
      </w:r>
      <w:r>
        <w:rPr>
          <w:rFonts w:hint="eastAsia"/>
          <w:sz w:val="28"/>
          <w:szCs w:val="28"/>
        </w:rPr>
        <w:t>，采</w:t>
      </w:r>
      <w:r>
        <w:rPr>
          <w:rFonts w:hint="eastAsia"/>
          <w:sz w:val="28"/>
          <w:szCs w:val="28"/>
        </w:rPr>
        <w:t>用上述两个模型分别</w:t>
      </w:r>
      <w:r>
        <w:rPr>
          <w:sz w:val="28"/>
          <w:szCs w:val="28"/>
        </w:rPr>
        <w:t>预测得到</w:t>
      </w:r>
      <w:r>
        <w:rPr>
          <w:rFonts w:hint="eastAsia"/>
          <w:sz w:val="28"/>
          <w:szCs w:val="28"/>
        </w:rPr>
        <w:t>2</w:t>
      </w:r>
      <w:r>
        <w:rPr>
          <w:sz w:val="28"/>
          <w:szCs w:val="28"/>
        </w:rPr>
        <w:t>025</w:t>
      </w:r>
      <w:r>
        <w:rPr>
          <w:sz w:val="28"/>
          <w:szCs w:val="28"/>
        </w:rPr>
        <w:t>年一般工业固废产生强度</w:t>
      </w:r>
      <w:r>
        <w:rPr>
          <w:rFonts w:hint="eastAsia"/>
          <w:sz w:val="28"/>
          <w:szCs w:val="28"/>
        </w:rPr>
        <w:t>约为</w:t>
      </w:r>
      <w:r>
        <w:rPr>
          <w:sz w:val="28"/>
          <w:szCs w:val="28"/>
        </w:rPr>
        <w:t>269kg/</w:t>
      </w:r>
      <w:r>
        <w:rPr>
          <w:sz w:val="28"/>
          <w:szCs w:val="28"/>
        </w:rPr>
        <w:t>万元、</w:t>
      </w:r>
      <w:r>
        <w:rPr>
          <w:rFonts w:hint="eastAsia"/>
          <w:sz w:val="28"/>
          <w:szCs w:val="28"/>
        </w:rPr>
        <w:t>3</w:t>
      </w:r>
      <w:r>
        <w:rPr>
          <w:sz w:val="28"/>
          <w:szCs w:val="28"/>
        </w:rPr>
        <w:t>69 kg/</w:t>
      </w:r>
      <w:r>
        <w:rPr>
          <w:sz w:val="28"/>
          <w:szCs w:val="28"/>
        </w:rPr>
        <w:t>万元。</w:t>
      </w:r>
    </w:p>
    <w:p w:rsidR="005A1ADB" w:rsidRDefault="000B6ECF">
      <w:pPr>
        <w:adjustRightInd w:val="0"/>
        <w:snapToGrid w:val="0"/>
        <w:spacing w:line="360" w:lineRule="auto"/>
        <w:ind w:firstLineChars="253" w:firstLine="708"/>
        <w:rPr>
          <w:sz w:val="28"/>
          <w:szCs w:val="28"/>
        </w:rPr>
      </w:pPr>
      <w:r>
        <w:rPr>
          <w:sz w:val="28"/>
          <w:szCs w:val="28"/>
        </w:rPr>
        <w:t>依据《长春市工业发展</w:t>
      </w:r>
      <w:r>
        <w:rPr>
          <w:rFonts w:hint="eastAsia"/>
          <w:sz w:val="28"/>
          <w:szCs w:val="28"/>
        </w:rPr>
        <w:t>“</w:t>
      </w:r>
      <w:r>
        <w:rPr>
          <w:sz w:val="28"/>
          <w:szCs w:val="28"/>
        </w:rPr>
        <w:t>十四五</w:t>
      </w:r>
      <w:r>
        <w:rPr>
          <w:rFonts w:hint="eastAsia"/>
          <w:sz w:val="28"/>
          <w:szCs w:val="28"/>
        </w:rPr>
        <w:t>”</w:t>
      </w:r>
      <w:r>
        <w:rPr>
          <w:sz w:val="28"/>
          <w:szCs w:val="28"/>
        </w:rPr>
        <w:t>规划》，</w:t>
      </w:r>
      <w:r>
        <w:rPr>
          <w:rFonts w:hint="eastAsia"/>
          <w:sz w:val="28"/>
          <w:szCs w:val="28"/>
        </w:rPr>
        <w:t>2</w:t>
      </w:r>
      <w:r>
        <w:rPr>
          <w:sz w:val="28"/>
          <w:szCs w:val="28"/>
        </w:rPr>
        <w:t>025</w:t>
      </w:r>
      <w:r>
        <w:rPr>
          <w:sz w:val="28"/>
          <w:szCs w:val="28"/>
        </w:rPr>
        <w:t>年长春市规模以上工业增加值预计达</w:t>
      </w:r>
      <w:r>
        <w:rPr>
          <w:rFonts w:hint="eastAsia"/>
          <w:sz w:val="28"/>
          <w:szCs w:val="28"/>
        </w:rPr>
        <w:t>3</w:t>
      </w:r>
      <w:r>
        <w:rPr>
          <w:sz w:val="28"/>
          <w:szCs w:val="28"/>
        </w:rPr>
        <w:t>600</w:t>
      </w:r>
      <w:r>
        <w:rPr>
          <w:sz w:val="28"/>
          <w:szCs w:val="28"/>
        </w:rPr>
        <w:t>亿元。</w:t>
      </w:r>
      <w:r>
        <w:rPr>
          <w:rFonts w:hint="eastAsia"/>
          <w:sz w:val="28"/>
          <w:szCs w:val="28"/>
        </w:rPr>
        <w:t>综上</w:t>
      </w:r>
      <w:r>
        <w:rPr>
          <w:sz w:val="28"/>
          <w:szCs w:val="28"/>
        </w:rPr>
        <w:t>，预测</w:t>
      </w:r>
      <w:r>
        <w:rPr>
          <w:rFonts w:hint="eastAsia"/>
          <w:sz w:val="28"/>
          <w:szCs w:val="28"/>
        </w:rPr>
        <w:t>2</w:t>
      </w:r>
      <w:r>
        <w:rPr>
          <w:sz w:val="28"/>
          <w:szCs w:val="28"/>
        </w:rPr>
        <w:t>025</w:t>
      </w:r>
      <w:r>
        <w:rPr>
          <w:sz w:val="28"/>
          <w:szCs w:val="28"/>
        </w:rPr>
        <w:t>年一般工业固废产生量约为</w:t>
      </w:r>
      <w:r>
        <w:rPr>
          <w:sz w:val="28"/>
          <w:szCs w:val="28"/>
        </w:rPr>
        <w:t>968</w:t>
      </w:r>
      <w:r>
        <w:rPr>
          <w:sz w:val="28"/>
          <w:szCs w:val="28"/>
        </w:rPr>
        <w:t>万吨</w:t>
      </w:r>
      <w:r>
        <w:rPr>
          <w:rFonts w:hint="eastAsia"/>
          <w:sz w:val="28"/>
          <w:szCs w:val="28"/>
        </w:rPr>
        <w:t>至</w:t>
      </w:r>
      <w:r>
        <w:rPr>
          <w:sz w:val="28"/>
          <w:szCs w:val="28"/>
        </w:rPr>
        <w:t>1327</w:t>
      </w:r>
      <w:r>
        <w:rPr>
          <w:sz w:val="28"/>
          <w:szCs w:val="28"/>
        </w:rPr>
        <w:t>万吨之间。</w:t>
      </w:r>
    </w:p>
    <w:p w:rsidR="005A1ADB" w:rsidRDefault="000B6ECF">
      <w:pPr>
        <w:pStyle w:val="4"/>
      </w:pPr>
      <w:r>
        <w:rPr>
          <w:rFonts w:hint="eastAsia"/>
        </w:rPr>
        <w:t>2.2.2</w:t>
      </w:r>
      <w:r>
        <w:rPr>
          <w:rFonts w:hint="eastAsia"/>
        </w:rPr>
        <w:t>农业农村发展及农业固体废物管理现状</w:t>
      </w:r>
    </w:p>
    <w:p w:rsidR="005A1ADB" w:rsidRDefault="000B6ECF">
      <w:pPr>
        <w:pStyle w:val="5"/>
        <w:rPr>
          <w:rFonts w:ascii="宋体" w:eastAsia="宋体" w:hAnsi="宋体" w:cs="宋体"/>
        </w:rPr>
      </w:pPr>
      <w:r>
        <w:rPr>
          <w:rFonts w:ascii="宋体" w:eastAsia="宋体" w:hAnsi="宋体" w:cs="宋体" w:hint="eastAsia"/>
        </w:rPr>
        <w:t>2.2.2.1</w:t>
      </w:r>
      <w:r>
        <w:rPr>
          <w:rFonts w:ascii="宋体" w:eastAsia="宋体" w:hAnsi="宋体" w:cs="宋体" w:hint="eastAsia"/>
        </w:rPr>
        <w:t>农业农村发展基本情况</w:t>
      </w:r>
    </w:p>
    <w:p w:rsidR="005A1ADB" w:rsidRDefault="000B6ECF">
      <w:pPr>
        <w:widowControl/>
        <w:spacing w:after="120" w:line="300" w:lineRule="auto"/>
        <w:ind w:firstLineChars="200" w:firstLine="560"/>
        <w:rPr>
          <w:sz w:val="28"/>
        </w:rPr>
      </w:pPr>
      <w:r>
        <w:rPr>
          <w:rFonts w:hint="eastAsia"/>
          <w:sz w:val="28"/>
        </w:rPr>
        <w:t>在农业农村发展方面，长春市</w:t>
      </w:r>
      <w:r>
        <w:rPr>
          <w:rFonts w:hint="eastAsia"/>
          <w:sz w:val="28"/>
        </w:rPr>
        <w:t>2</w:t>
      </w:r>
      <w:r>
        <w:rPr>
          <w:sz w:val="28"/>
        </w:rPr>
        <w:t>020</w:t>
      </w:r>
      <w:r>
        <w:rPr>
          <w:sz w:val="28"/>
        </w:rPr>
        <w:t>年</w:t>
      </w:r>
      <w:r>
        <w:rPr>
          <w:rFonts w:hint="eastAsia"/>
          <w:sz w:val="28"/>
        </w:rPr>
        <w:t>全市完成农林牧渔业增加值</w:t>
      </w:r>
      <w:r>
        <w:rPr>
          <w:rFonts w:hint="eastAsia"/>
          <w:sz w:val="28"/>
        </w:rPr>
        <w:t>548.5</w:t>
      </w:r>
      <w:r>
        <w:rPr>
          <w:rFonts w:hint="eastAsia"/>
          <w:sz w:val="28"/>
        </w:rPr>
        <w:t>亿元，其中，种植业增加值</w:t>
      </w:r>
      <w:r>
        <w:rPr>
          <w:rFonts w:hint="eastAsia"/>
          <w:sz w:val="28"/>
        </w:rPr>
        <w:t>194.1</w:t>
      </w:r>
      <w:r>
        <w:rPr>
          <w:rFonts w:hint="eastAsia"/>
          <w:sz w:val="28"/>
        </w:rPr>
        <w:t>亿元，林业增加值</w:t>
      </w:r>
      <w:r>
        <w:rPr>
          <w:rFonts w:hint="eastAsia"/>
          <w:sz w:val="28"/>
        </w:rPr>
        <w:t>3.4</w:t>
      </w:r>
      <w:r>
        <w:rPr>
          <w:rFonts w:hint="eastAsia"/>
          <w:sz w:val="28"/>
        </w:rPr>
        <w:t>亿元，牧业增加值</w:t>
      </w:r>
      <w:r>
        <w:rPr>
          <w:rFonts w:hint="eastAsia"/>
          <w:sz w:val="28"/>
        </w:rPr>
        <w:t>332.6</w:t>
      </w:r>
      <w:r>
        <w:rPr>
          <w:rFonts w:hint="eastAsia"/>
          <w:sz w:val="28"/>
        </w:rPr>
        <w:t>亿元，渔业增加值</w:t>
      </w:r>
      <w:r>
        <w:rPr>
          <w:rFonts w:hint="eastAsia"/>
          <w:sz w:val="28"/>
        </w:rPr>
        <w:t>3.8</w:t>
      </w:r>
      <w:r>
        <w:rPr>
          <w:rFonts w:hint="eastAsia"/>
          <w:sz w:val="28"/>
        </w:rPr>
        <w:t>亿元，农林牧渔服务业增加值</w:t>
      </w:r>
      <w:r>
        <w:rPr>
          <w:rFonts w:hint="eastAsia"/>
          <w:sz w:val="28"/>
        </w:rPr>
        <w:t>14.7</w:t>
      </w:r>
      <w:r>
        <w:rPr>
          <w:rFonts w:hint="eastAsia"/>
          <w:sz w:val="28"/>
        </w:rPr>
        <w:t>亿元。</w:t>
      </w:r>
    </w:p>
    <w:p w:rsidR="005A1ADB" w:rsidRDefault="000B6ECF">
      <w:pPr>
        <w:widowControl/>
        <w:spacing w:after="120" w:line="300" w:lineRule="auto"/>
        <w:ind w:firstLineChars="200" w:firstLine="560"/>
        <w:rPr>
          <w:sz w:val="28"/>
        </w:rPr>
      </w:pPr>
      <w:r>
        <w:rPr>
          <w:rFonts w:hint="eastAsia"/>
          <w:sz w:val="28"/>
        </w:rPr>
        <w:t>在种植业方面，农作物总播种面积</w:t>
      </w:r>
      <w:r>
        <w:rPr>
          <w:rFonts w:hint="eastAsia"/>
          <w:sz w:val="28"/>
        </w:rPr>
        <w:t>163.3</w:t>
      </w:r>
      <w:r>
        <w:rPr>
          <w:rFonts w:hint="eastAsia"/>
          <w:sz w:val="28"/>
        </w:rPr>
        <w:t>万公顷，粮食总产量达到</w:t>
      </w:r>
      <w:r>
        <w:rPr>
          <w:rFonts w:hint="eastAsia"/>
          <w:sz w:val="28"/>
        </w:rPr>
        <w:t>1163.9</w:t>
      </w:r>
      <w:r>
        <w:rPr>
          <w:rFonts w:hint="eastAsia"/>
          <w:sz w:val="28"/>
        </w:rPr>
        <w:t>万吨；其中，玉米产量</w:t>
      </w:r>
      <w:r>
        <w:rPr>
          <w:rFonts w:hint="eastAsia"/>
          <w:sz w:val="28"/>
        </w:rPr>
        <w:t>990.2</w:t>
      </w:r>
      <w:r>
        <w:rPr>
          <w:rFonts w:hint="eastAsia"/>
          <w:sz w:val="28"/>
        </w:rPr>
        <w:t>万吨，水稻产量</w:t>
      </w:r>
      <w:r>
        <w:rPr>
          <w:rFonts w:hint="eastAsia"/>
          <w:sz w:val="28"/>
        </w:rPr>
        <w:t>151.9</w:t>
      </w:r>
      <w:r>
        <w:rPr>
          <w:rFonts w:hint="eastAsia"/>
          <w:sz w:val="28"/>
        </w:rPr>
        <w:t>万吨。</w:t>
      </w:r>
    </w:p>
    <w:p w:rsidR="005A1ADB" w:rsidRDefault="000B6ECF">
      <w:pPr>
        <w:widowControl/>
        <w:spacing w:after="120" w:line="300" w:lineRule="auto"/>
        <w:ind w:firstLineChars="200" w:firstLine="560"/>
        <w:rPr>
          <w:sz w:val="28"/>
        </w:rPr>
      </w:pPr>
      <w:r>
        <w:rPr>
          <w:rFonts w:hint="eastAsia"/>
          <w:sz w:val="28"/>
        </w:rPr>
        <w:lastRenderedPageBreak/>
        <w:t>在畜牧业方面，</w:t>
      </w:r>
      <w:r>
        <w:rPr>
          <w:rFonts w:hint="eastAsia"/>
          <w:sz w:val="28"/>
        </w:rPr>
        <w:t>2020</w:t>
      </w:r>
      <w:r>
        <w:rPr>
          <w:rFonts w:hint="eastAsia"/>
          <w:sz w:val="28"/>
        </w:rPr>
        <w:t>年全市生猪发展</w:t>
      </w:r>
      <w:r>
        <w:rPr>
          <w:rFonts w:hint="eastAsia"/>
          <w:sz w:val="28"/>
        </w:rPr>
        <w:t>784.6</w:t>
      </w:r>
      <w:r>
        <w:rPr>
          <w:rFonts w:hint="eastAsia"/>
          <w:sz w:val="28"/>
        </w:rPr>
        <w:t>万头，存栏</w:t>
      </w:r>
      <w:r>
        <w:rPr>
          <w:rFonts w:hint="eastAsia"/>
          <w:sz w:val="28"/>
        </w:rPr>
        <w:t>313</w:t>
      </w:r>
      <w:r>
        <w:rPr>
          <w:rFonts w:hint="eastAsia"/>
          <w:sz w:val="28"/>
        </w:rPr>
        <w:t>万头，出栏</w:t>
      </w:r>
      <w:r>
        <w:rPr>
          <w:rFonts w:hint="eastAsia"/>
          <w:sz w:val="28"/>
        </w:rPr>
        <w:t>471.6</w:t>
      </w:r>
      <w:r>
        <w:rPr>
          <w:rFonts w:hint="eastAsia"/>
          <w:sz w:val="28"/>
        </w:rPr>
        <w:t>万头；肉牛发展</w:t>
      </w:r>
      <w:r>
        <w:rPr>
          <w:sz w:val="28"/>
        </w:rPr>
        <w:t>232</w:t>
      </w:r>
      <w:r>
        <w:rPr>
          <w:rFonts w:hint="eastAsia"/>
          <w:sz w:val="28"/>
        </w:rPr>
        <w:t>.6</w:t>
      </w:r>
      <w:r>
        <w:rPr>
          <w:rFonts w:hint="eastAsia"/>
          <w:sz w:val="28"/>
        </w:rPr>
        <w:t>万头，存栏</w:t>
      </w:r>
      <w:r>
        <w:rPr>
          <w:rFonts w:hint="eastAsia"/>
          <w:sz w:val="28"/>
        </w:rPr>
        <w:t>1</w:t>
      </w:r>
      <w:r>
        <w:rPr>
          <w:sz w:val="28"/>
        </w:rPr>
        <w:t>45</w:t>
      </w:r>
      <w:r>
        <w:rPr>
          <w:rFonts w:hint="eastAsia"/>
          <w:sz w:val="28"/>
        </w:rPr>
        <w:t>万头，出栏</w:t>
      </w:r>
      <w:r>
        <w:rPr>
          <w:rFonts w:hint="eastAsia"/>
          <w:sz w:val="28"/>
        </w:rPr>
        <w:t>87.6</w:t>
      </w:r>
      <w:r>
        <w:rPr>
          <w:rFonts w:hint="eastAsia"/>
          <w:sz w:val="28"/>
        </w:rPr>
        <w:t>万头；羊发展</w:t>
      </w:r>
      <w:r>
        <w:rPr>
          <w:rFonts w:hint="eastAsia"/>
          <w:sz w:val="28"/>
        </w:rPr>
        <w:t>102.5</w:t>
      </w:r>
      <w:r>
        <w:rPr>
          <w:rFonts w:hint="eastAsia"/>
          <w:sz w:val="28"/>
        </w:rPr>
        <w:t>万只，存栏</w:t>
      </w:r>
      <w:r>
        <w:rPr>
          <w:rFonts w:hint="eastAsia"/>
          <w:sz w:val="28"/>
        </w:rPr>
        <w:t>54.4</w:t>
      </w:r>
      <w:r>
        <w:rPr>
          <w:rFonts w:hint="eastAsia"/>
          <w:sz w:val="28"/>
        </w:rPr>
        <w:t>万头，出栏</w:t>
      </w:r>
      <w:r>
        <w:rPr>
          <w:rFonts w:hint="eastAsia"/>
          <w:sz w:val="28"/>
        </w:rPr>
        <w:t>48.</w:t>
      </w:r>
      <w:r>
        <w:rPr>
          <w:rFonts w:hint="eastAsia"/>
          <w:sz w:val="28"/>
        </w:rPr>
        <w:t>1</w:t>
      </w:r>
      <w:r>
        <w:rPr>
          <w:rFonts w:hint="eastAsia"/>
          <w:sz w:val="28"/>
        </w:rPr>
        <w:t>万头；鹿存栏</w:t>
      </w:r>
      <w:r>
        <w:rPr>
          <w:rFonts w:hint="eastAsia"/>
          <w:sz w:val="28"/>
        </w:rPr>
        <w:t>14.2</w:t>
      </w:r>
      <w:r>
        <w:rPr>
          <w:rFonts w:hint="eastAsia"/>
          <w:sz w:val="28"/>
        </w:rPr>
        <w:t>万只；奶牛存栏</w:t>
      </w:r>
      <w:r>
        <w:rPr>
          <w:rFonts w:hint="eastAsia"/>
          <w:sz w:val="28"/>
        </w:rPr>
        <w:t>5.3</w:t>
      </w:r>
      <w:r>
        <w:rPr>
          <w:rFonts w:hint="eastAsia"/>
          <w:sz w:val="28"/>
        </w:rPr>
        <w:t>万头；兔发展</w:t>
      </w:r>
      <w:r>
        <w:rPr>
          <w:rFonts w:hint="eastAsia"/>
          <w:sz w:val="28"/>
        </w:rPr>
        <w:t>85.4</w:t>
      </w:r>
      <w:r>
        <w:rPr>
          <w:rFonts w:hint="eastAsia"/>
          <w:sz w:val="28"/>
        </w:rPr>
        <w:t>万只，存栏</w:t>
      </w:r>
      <w:r>
        <w:rPr>
          <w:rFonts w:hint="eastAsia"/>
          <w:sz w:val="28"/>
        </w:rPr>
        <w:t>10.4</w:t>
      </w:r>
      <w:r>
        <w:rPr>
          <w:rFonts w:hint="eastAsia"/>
          <w:sz w:val="28"/>
        </w:rPr>
        <w:t>万只，出栏</w:t>
      </w:r>
      <w:r>
        <w:rPr>
          <w:rFonts w:hint="eastAsia"/>
          <w:sz w:val="28"/>
        </w:rPr>
        <w:t>75</w:t>
      </w:r>
      <w:r>
        <w:rPr>
          <w:rFonts w:hint="eastAsia"/>
          <w:sz w:val="28"/>
        </w:rPr>
        <w:t>万只；家禽发展</w:t>
      </w:r>
      <w:r>
        <w:rPr>
          <w:rFonts w:hint="eastAsia"/>
          <w:sz w:val="28"/>
        </w:rPr>
        <w:t>3.99</w:t>
      </w:r>
      <w:r>
        <w:rPr>
          <w:rFonts w:hint="eastAsia"/>
          <w:sz w:val="28"/>
        </w:rPr>
        <w:t>亿只，存栏</w:t>
      </w:r>
      <w:r>
        <w:rPr>
          <w:rFonts w:hint="eastAsia"/>
          <w:sz w:val="28"/>
        </w:rPr>
        <w:t>9435.2</w:t>
      </w:r>
      <w:r>
        <w:rPr>
          <w:rFonts w:hint="eastAsia"/>
          <w:sz w:val="28"/>
        </w:rPr>
        <w:t>万只，出栏</w:t>
      </w:r>
      <w:r>
        <w:rPr>
          <w:rFonts w:hint="eastAsia"/>
          <w:sz w:val="28"/>
        </w:rPr>
        <w:t>3.05</w:t>
      </w:r>
      <w:r>
        <w:rPr>
          <w:rFonts w:hint="eastAsia"/>
          <w:sz w:val="28"/>
        </w:rPr>
        <w:t>亿只。</w:t>
      </w:r>
    </w:p>
    <w:p w:rsidR="005A1ADB" w:rsidRDefault="000B6ECF">
      <w:pPr>
        <w:widowControl/>
        <w:spacing w:after="120" w:line="300" w:lineRule="auto"/>
        <w:ind w:firstLineChars="200" w:firstLine="560"/>
        <w:rPr>
          <w:sz w:val="28"/>
        </w:rPr>
      </w:pPr>
      <w:r>
        <w:rPr>
          <w:rFonts w:hint="eastAsia"/>
          <w:sz w:val="28"/>
        </w:rPr>
        <w:t>在农业绿色发展方面，全市有效使用绿色食品标识产品</w:t>
      </w:r>
      <w:r>
        <w:rPr>
          <w:rFonts w:hint="eastAsia"/>
          <w:sz w:val="28"/>
        </w:rPr>
        <w:t>297</w:t>
      </w:r>
      <w:r>
        <w:rPr>
          <w:rFonts w:hint="eastAsia"/>
          <w:sz w:val="28"/>
        </w:rPr>
        <w:t>个，有机食品</w:t>
      </w:r>
      <w:r>
        <w:rPr>
          <w:rFonts w:hint="eastAsia"/>
          <w:sz w:val="28"/>
        </w:rPr>
        <w:t>217</w:t>
      </w:r>
      <w:r>
        <w:rPr>
          <w:rFonts w:hint="eastAsia"/>
          <w:sz w:val="28"/>
        </w:rPr>
        <w:t>个，绿色有机环境监测面积达到</w:t>
      </w:r>
      <w:r>
        <w:rPr>
          <w:rFonts w:hint="eastAsia"/>
          <w:sz w:val="28"/>
        </w:rPr>
        <w:t>529.4</w:t>
      </w:r>
      <w:r>
        <w:rPr>
          <w:rFonts w:hint="eastAsia"/>
          <w:sz w:val="28"/>
        </w:rPr>
        <w:t>万亩，绿色有机农业总产值</w:t>
      </w:r>
      <w:r>
        <w:rPr>
          <w:rFonts w:hint="eastAsia"/>
          <w:sz w:val="28"/>
        </w:rPr>
        <w:t>416</w:t>
      </w:r>
      <w:r>
        <w:rPr>
          <w:rFonts w:hint="eastAsia"/>
          <w:sz w:val="28"/>
        </w:rPr>
        <w:t>亿元。</w:t>
      </w:r>
    </w:p>
    <w:p w:rsidR="005A1ADB" w:rsidRDefault="000B6ECF">
      <w:pPr>
        <w:pStyle w:val="5"/>
        <w:rPr>
          <w:rFonts w:ascii="宋体" w:eastAsia="宋体" w:hAnsi="宋体" w:cs="宋体"/>
        </w:rPr>
      </w:pPr>
      <w:r>
        <w:rPr>
          <w:rFonts w:ascii="宋体" w:eastAsia="宋体" w:hAnsi="宋体" w:cs="宋体" w:hint="eastAsia"/>
        </w:rPr>
        <w:t>2.2.2.2</w:t>
      </w:r>
      <w:r>
        <w:rPr>
          <w:rFonts w:ascii="宋体" w:eastAsia="宋体" w:hAnsi="宋体" w:cs="宋体" w:hint="eastAsia"/>
        </w:rPr>
        <w:t>农业固体废物管理现状</w:t>
      </w:r>
    </w:p>
    <w:p w:rsidR="005A1ADB" w:rsidRDefault="000B6ECF">
      <w:pPr>
        <w:widowControl/>
        <w:spacing w:after="120" w:line="300" w:lineRule="auto"/>
        <w:ind w:firstLineChars="200" w:firstLine="560"/>
        <w:rPr>
          <w:sz w:val="28"/>
        </w:rPr>
      </w:pPr>
      <w:r>
        <w:rPr>
          <w:rFonts w:hint="eastAsia"/>
          <w:sz w:val="28"/>
        </w:rPr>
        <w:t>农业固体废物主要包括农作物秸秆、畜禽粪污、废弃农膜和农药包装废弃物等类型。</w:t>
      </w:r>
    </w:p>
    <w:p w:rsidR="005A1ADB" w:rsidRDefault="000B6ECF">
      <w:pPr>
        <w:widowControl/>
        <w:spacing w:after="120" w:line="300" w:lineRule="auto"/>
        <w:ind w:firstLineChars="200" w:firstLine="560"/>
        <w:rPr>
          <w:sz w:val="28"/>
        </w:rPr>
      </w:pPr>
      <w:r>
        <w:rPr>
          <w:rFonts w:hint="eastAsia"/>
          <w:sz w:val="28"/>
        </w:rPr>
        <w:t>在农作物秸秆方面，</w:t>
      </w:r>
      <w:r>
        <w:rPr>
          <w:rFonts w:hint="eastAsia"/>
          <w:sz w:val="28"/>
        </w:rPr>
        <w:t>2020</w:t>
      </w:r>
      <w:r>
        <w:rPr>
          <w:rFonts w:hint="eastAsia"/>
          <w:sz w:val="28"/>
        </w:rPr>
        <w:t>年长春市秸秆产生量（可收集量）为</w:t>
      </w:r>
      <w:r>
        <w:rPr>
          <w:rFonts w:hint="eastAsia"/>
          <w:sz w:val="28"/>
        </w:rPr>
        <w:t>1222.60</w:t>
      </w:r>
      <w:r>
        <w:rPr>
          <w:rFonts w:hint="eastAsia"/>
          <w:sz w:val="28"/>
        </w:rPr>
        <w:t>万吨，秸秆综合利</w:t>
      </w:r>
      <w:r>
        <w:rPr>
          <w:rFonts w:hint="eastAsia"/>
          <w:sz w:val="28"/>
        </w:rPr>
        <w:t>用量为</w:t>
      </w:r>
      <w:r>
        <w:rPr>
          <w:rFonts w:hint="eastAsia"/>
          <w:sz w:val="28"/>
        </w:rPr>
        <w:t>836.10</w:t>
      </w:r>
      <w:r>
        <w:rPr>
          <w:rFonts w:hint="eastAsia"/>
          <w:sz w:val="28"/>
        </w:rPr>
        <w:t>万吨，秸秆综合利用率为</w:t>
      </w:r>
      <w:r>
        <w:rPr>
          <w:rFonts w:hint="eastAsia"/>
          <w:sz w:val="28"/>
        </w:rPr>
        <w:t>68.5%</w:t>
      </w:r>
      <w:r>
        <w:rPr>
          <w:rFonts w:hint="eastAsia"/>
          <w:sz w:val="28"/>
        </w:rPr>
        <w:t>。在秸秆“五化”利用中，能源化利用量为</w:t>
      </w:r>
      <w:r>
        <w:rPr>
          <w:rFonts w:hint="eastAsia"/>
          <w:sz w:val="28"/>
        </w:rPr>
        <w:t>293.0</w:t>
      </w:r>
      <w:r>
        <w:rPr>
          <w:rFonts w:hint="eastAsia"/>
          <w:sz w:val="28"/>
        </w:rPr>
        <w:t>万吨，肥料化利用量</w:t>
      </w:r>
      <w:r>
        <w:rPr>
          <w:rFonts w:hint="eastAsia"/>
          <w:sz w:val="28"/>
        </w:rPr>
        <w:t>287.45</w:t>
      </w:r>
      <w:r>
        <w:rPr>
          <w:rFonts w:hint="eastAsia"/>
          <w:sz w:val="28"/>
        </w:rPr>
        <w:t>万吨，饲料化利用量</w:t>
      </w:r>
      <w:r>
        <w:rPr>
          <w:rFonts w:hint="eastAsia"/>
          <w:sz w:val="28"/>
        </w:rPr>
        <w:t>248.21</w:t>
      </w:r>
      <w:r>
        <w:rPr>
          <w:rFonts w:hint="eastAsia"/>
          <w:sz w:val="28"/>
        </w:rPr>
        <w:t>万吨，基料化利用量</w:t>
      </w:r>
      <w:r>
        <w:rPr>
          <w:rFonts w:hint="eastAsia"/>
          <w:sz w:val="28"/>
        </w:rPr>
        <w:t>7.09</w:t>
      </w:r>
      <w:r>
        <w:rPr>
          <w:rFonts w:hint="eastAsia"/>
          <w:sz w:val="28"/>
        </w:rPr>
        <w:t>万吨，原料化利用量</w:t>
      </w:r>
      <w:r>
        <w:rPr>
          <w:rFonts w:hint="eastAsia"/>
          <w:sz w:val="28"/>
        </w:rPr>
        <w:t>0.35</w:t>
      </w:r>
      <w:r>
        <w:rPr>
          <w:rFonts w:hint="eastAsia"/>
          <w:sz w:val="28"/>
        </w:rPr>
        <w:t>万吨。在秸秆管理方面，长春市制定了《长春市农作物秸秆露天禁烧和综合利用管理条例》，自</w:t>
      </w:r>
      <w:r>
        <w:rPr>
          <w:rFonts w:hint="eastAsia"/>
          <w:sz w:val="28"/>
        </w:rPr>
        <w:t>2020</w:t>
      </w:r>
      <w:r>
        <w:rPr>
          <w:rFonts w:hint="eastAsia"/>
          <w:sz w:val="28"/>
        </w:rPr>
        <w:t>年</w:t>
      </w:r>
      <w:r>
        <w:rPr>
          <w:rFonts w:hint="eastAsia"/>
          <w:sz w:val="28"/>
        </w:rPr>
        <w:t>1</w:t>
      </w:r>
      <w:r>
        <w:rPr>
          <w:rFonts w:hint="eastAsia"/>
          <w:sz w:val="28"/>
        </w:rPr>
        <w:t>月</w:t>
      </w:r>
      <w:r>
        <w:rPr>
          <w:rFonts w:hint="eastAsia"/>
          <w:sz w:val="28"/>
        </w:rPr>
        <w:t>1</w:t>
      </w:r>
      <w:r>
        <w:rPr>
          <w:rFonts w:hint="eastAsia"/>
          <w:sz w:val="28"/>
        </w:rPr>
        <w:t>日起施行，对市域农作物秸秆露天禁烧、综合利用及其相关管理活动进行了规定。</w:t>
      </w:r>
    </w:p>
    <w:p w:rsidR="005A1ADB" w:rsidRDefault="000B6ECF">
      <w:pPr>
        <w:widowControl/>
        <w:spacing w:after="120" w:line="300" w:lineRule="auto"/>
        <w:ind w:firstLineChars="200" w:firstLine="420"/>
        <w:jc w:val="center"/>
      </w:pPr>
      <w:r>
        <w:rPr>
          <w:noProof/>
        </w:rPr>
        <w:lastRenderedPageBreak/>
        <w:drawing>
          <wp:inline distT="0" distB="0" distL="114300" distR="114300">
            <wp:extent cx="3244215" cy="2049145"/>
            <wp:effectExtent l="4445" t="4445" r="15240" b="16510"/>
            <wp:docPr id="6" name="图表 2" descr="7b0a202020202263686172745265734964223a2022343336313638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1ADB" w:rsidRDefault="000B6ECF">
      <w:pPr>
        <w:pStyle w:val="a4"/>
        <w:widowControl/>
        <w:spacing w:after="120" w:line="300" w:lineRule="auto"/>
        <w:ind w:firstLineChars="200" w:firstLine="400"/>
        <w:jc w:val="center"/>
      </w:pPr>
      <w:r>
        <w:t>图</w:t>
      </w:r>
      <w:r>
        <w:t xml:space="preserve"> </w:t>
      </w:r>
      <w:r w:rsidR="005A1ADB">
        <w:fldChar w:fldCharType="begin"/>
      </w:r>
      <w:r>
        <w:instrText xml:space="preserve"> SEQ </w:instrText>
      </w:r>
      <w:r>
        <w:instrText>图</w:instrText>
      </w:r>
      <w:r>
        <w:instrText xml:space="preserve"> \* ARABIC </w:instrText>
      </w:r>
      <w:r w:rsidR="005A1ADB">
        <w:fldChar w:fldCharType="separate"/>
      </w:r>
      <w:r>
        <w:t>4</w:t>
      </w:r>
      <w:r w:rsidR="005A1ADB">
        <w:fldChar w:fldCharType="end"/>
      </w:r>
      <w:r>
        <w:rPr>
          <w:rFonts w:hint="eastAsia"/>
        </w:rPr>
        <w:tab/>
      </w:r>
      <w:r>
        <w:rPr>
          <w:rFonts w:hint="eastAsia"/>
        </w:rPr>
        <w:tab/>
        <w:t>2020</w:t>
      </w:r>
      <w:r>
        <w:rPr>
          <w:rFonts w:hint="eastAsia"/>
        </w:rPr>
        <w:t>年长春市秸秆“五化”综合利用量构成</w:t>
      </w:r>
    </w:p>
    <w:p w:rsidR="005A1ADB" w:rsidRDefault="000B6ECF">
      <w:pPr>
        <w:widowControl/>
        <w:spacing w:after="120" w:line="300" w:lineRule="auto"/>
        <w:ind w:firstLineChars="200" w:firstLine="560"/>
        <w:rPr>
          <w:sz w:val="28"/>
        </w:rPr>
      </w:pPr>
      <w:r>
        <w:rPr>
          <w:rFonts w:hint="eastAsia"/>
          <w:sz w:val="28"/>
        </w:rPr>
        <w:t>在畜禽粪污方面，经统计测算，</w:t>
      </w:r>
      <w:r>
        <w:rPr>
          <w:sz w:val="28"/>
        </w:rPr>
        <w:t>2020</w:t>
      </w:r>
      <w:r>
        <w:rPr>
          <w:rFonts w:hint="eastAsia"/>
          <w:sz w:val="28"/>
        </w:rPr>
        <w:t>年全市畜禽粪污产生总量约为</w:t>
      </w:r>
      <w:r>
        <w:rPr>
          <w:rFonts w:hint="eastAsia"/>
          <w:sz w:val="28"/>
        </w:rPr>
        <w:t>2000</w:t>
      </w:r>
      <w:r>
        <w:rPr>
          <w:rFonts w:hint="eastAsia"/>
          <w:sz w:val="28"/>
        </w:rPr>
        <w:t>万吨，其中约</w:t>
      </w:r>
      <w:r>
        <w:rPr>
          <w:rFonts w:hint="eastAsia"/>
          <w:sz w:val="28"/>
        </w:rPr>
        <w:t>1900</w:t>
      </w:r>
      <w:r>
        <w:rPr>
          <w:rFonts w:hint="eastAsia"/>
          <w:sz w:val="28"/>
        </w:rPr>
        <w:t>万吨实现资源化利用，畜禽粪污综合利用率为</w:t>
      </w:r>
      <w:r>
        <w:rPr>
          <w:rFonts w:hint="eastAsia"/>
          <w:sz w:val="28"/>
        </w:rPr>
        <w:t>95.06%</w:t>
      </w:r>
      <w:r>
        <w:rPr>
          <w:rFonts w:hint="eastAsia"/>
          <w:sz w:val="28"/>
        </w:rPr>
        <w:t>。长春市重点推广了两种比较成熟的畜禽粪污综合利用技术模式和运营方式，分别应用于城区和养殖大县；对于城区，主要是由各区级政府组织建设公共粪污暂存设施，委托区域性畜禽粪污集中处理中心进行运营维护和综合利用；对于养殖大县，主要是依托种养废弃物快速腐熟还田技术模式，在养殖密集区域布局建设秸秆粪污腐熟堆沤场和无臭膜覆盖腐熟发酵设施，协同实现种养废弃物资源化利用。在粪污处理设施装备配套建设方面，全市共有</w:t>
      </w:r>
      <w:r>
        <w:rPr>
          <w:rFonts w:hint="eastAsia"/>
          <w:sz w:val="28"/>
        </w:rPr>
        <w:t>33</w:t>
      </w:r>
      <w:r>
        <w:rPr>
          <w:rFonts w:hint="eastAsia"/>
          <w:sz w:val="28"/>
        </w:rPr>
        <w:t>94</w:t>
      </w:r>
      <w:r>
        <w:rPr>
          <w:rFonts w:hint="eastAsia"/>
          <w:sz w:val="28"/>
        </w:rPr>
        <w:t>家畜禽规模养殖场纳入规模养殖场粪污处理设施装备配套考核范围，规模畜禽养殖场粪污处理设施装备配套率达</w:t>
      </w:r>
      <w:r>
        <w:rPr>
          <w:rFonts w:hint="eastAsia"/>
          <w:sz w:val="28"/>
        </w:rPr>
        <w:t>99.91%</w:t>
      </w:r>
      <w:r>
        <w:rPr>
          <w:rFonts w:hint="eastAsia"/>
          <w:sz w:val="28"/>
        </w:rPr>
        <w:t>。在畜禽粪污管理方面，在具体措施方面，一是逐年分解设施配套建设任务，扎实推进规模养殖场粪污处理设施装备配套建设，截止到</w:t>
      </w:r>
      <w:r>
        <w:rPr>
          <w:rFonts w:hint="eastAsia"/>
          <w:sz w:val="28"/>
        </w:rPr>
        <w:t>2020</w:t>
      </w:r>
      <w:r>
        <w:rPr>
          <w:rFonts w:hint="eastAsia"/>
          <w:sz w:val="28"/>
        </w:rPr>
        <w:t>年底，公主岭市、农安县、榆树市、德惠市、九台区等</w:t>
      </w:r>
      <w:r>
        <w:rPr>
          <w:rFonts w:hint="eastAsia"/>
          <w:sz w:val="28"/>
        </w:rPr>
        <w:t>5</w:t>
      </w:r>
      <w:r>
        <w:rPr>
          <w:rFonts w:hint="eastAsia"/>
          <w:sz w:val="28"/>
        </w:rPr>
        <w:t>个畜牧大县尚未配套建设粪污处理设施的规模养殖场（也未委托进行第三方处理）全部完成了配套建设任务，</w:t>
      </w:r>
      <w:r>
        <w:rPr>
          <w:rFonts w:hint="eastAsia"/>
          <w:sz w:val="28"/>
        </w:rPr>
        <w:t>5</w:t>
      </w:r>
      <w:r>
        <w:rPr>
          <w:rFonts w:hint="eastAsia"/>
          <w:sz w:val="28"/>
        </w:rPr>
        <w:t>个畜牧大县的规模养殖场粪污处理设施装备配套率均达到</w:t>
      </w:r>
      <w:r>
        <w:rPr>
          <w:rFonts w:hint="eastAsia"/>
          <w:sz w:val="28"/>
        </w:rPr>
        <w:lastRenderedPageBreak/>
        <w:t>100%</w:t>
      </w:r>
      <w:r>
        <w:rPr>
          <w:rFonts w:hint="eastAsia"/>
          <w:sz w:val="28"/>
        </w:rPr>
        <w:t>。二是加强粪污综合利用技术指导和服务，</w:t>
      </w:r>
      <w:r>
        <w:rPr>
          <w:rFonts w:hint="eastAsia"/>
          <w:sz w:val="28"/>
        </w:rPr>
        <w:t>2020</w:t>
      </w:r>
      <w:r>
        <w:rPr>
          <w:rFonts w:hint="eastAsia"/>
          <w:sz w:val="28"/>
        </w:rPr>
        <w:t>年</w:t>
      </w:r>
      <w:r>
        <w:rPr>
          <w:rFonts w:hint="eastAsia"/>
          <w:sz w:val="28"/>
        </w:rPr>
        <w:t>7</w:t>
      </w:r>
      <w:r>
        <w:rPr>
          <w:rFonts w:hint="eastAsia"/>
          <w:sz w:val="28"/>
        </w:rPr>
        <w:t>月长春市印发并实</w:t>
      </w:r>
      <w:r>
        <w:rPr>
          <w:rFonts w:hint="eastAsia"/>
          <w:sz w:val="28"/>
        </w:rPr>
        <w:t>施了《长春市畜禽养殖废弃物资源化利用专项整治行动方案》，全面开展畜禽粪污资源化利用业务指导和服务是专项行动的重要工作任务之一，通过组织指导养殖场户同种植业者签订粪污还田消纳协议，有效畅通还田利用渠道，截止到</w:t>
      </w:r>
      <w:r>
        <w:rPr>
          <w:sz w:val="28"/>
        </w:rPr>
        <w:t>2020</w:t>
      </w:r>
      <w:r>
        <w:rPr>
          <w:rFonts w:hint="eastAsia"/>
          <w:sz w:val="28"/>
        </w:rPr>
        <w:t>年底，累计组织</w:t>
      </w:r>
      <w:r>
        <w:rPr>
          <w:rFonts w:hint="eastAsia"/>
          <w:sz w:val="28"/>
        </w:rPr>
        <w:t>2893</w:t>
      </w:r>
      <w:r>
        <w:rPr>
          <w:rFonts w:hint="eastAsia"/>
          <w:sz w:val="28"/>
        </w:rPr>
        <w:t>家规模养殖场、</w:t>
      </w:r>
      <w:r>
        <w:rPr>
          <w:rFonts w:hint="eastAsia"/>
          <w:sz w:val="28"/>
        </w:rPr>
        <w:t>904</w:t>
      </w:r>
      <w:r>
        <w:rPr>
          <w:rFonts w:hint="eastAsia"/>
          <w:sz w:val="28"/>
        </w:rPr>
        <w:t>户养殖专业户签订了消纳协议</w:t>
      </w:r>
      <w:r>
        <w:rPr>
          <w:rFonts w:hint="eastAsia"/>
          <w:sz w:val="28"/>
        </w:rPr>
        <w:t>。</w:t>
      </w:r>
      <w:r>
        <w:rPr>
          <w:rFonts w:hint="eastAsia"/>
          <w:sz w:val="28"/>
        </w:rPr>
        <w:t>三是推进公共粪污收储运体系建设，突出解决规模以下粪污收储运问题，截止到</w:t>
      </w:r>
      <w:r>
        <w:rPr>
          <w:sz w:val="28"/>
        </w:rPr>
        <w:t>2020</w:t>
      </w:r>
      <w:r>
        <w:rPr>
          <w:rFonts w:hint="eastAsia"/>
          <w:sz w:val="28"/>
        </w:rPr>
        <w:t>年底，全市符合三防要求的公共粪污暂存设施达</w:t>
      </w:r>
      <w:r>
        <w:rPr>
          <w:rFonts w:hint="eastAsia"/>
          <w:sz w:val="28"/>
        </w:rPr>
        <w:t>902</w:t>
      </w:r>
      <w:r>
        <w:rPr>
          <w:rFonts w:hint="eastAsia"/>
          <w:sz w:val="28"/>
        </w:rPr>
        <w:t>处，总容积达到了</w:t>
      </w:r>
      <w:r>
        <w:rPr>
          <w:rFonts w:hint="eastAsia"/>
          <w:sz w:val="28"/>
        </w:rPr>
        <w:t>20.84</w:t>
      </w:r>
      <w:r>
        <w:rPr>
          <w:rFonts w:hint="eastAsia"/>
          <w:sz w:val="28"/>
        </w:rPr>
        <w:t>万立方米，建有坑塘式、条垛式秸秆粪污堆沤腐熟发酵点</w:t>
      </w:r>
      <w:r>
        <w:rPr>
          <w:rFonts w:hint="eastAsia"/>
          <w:sz w:val="28"/>
        </w:rPr>
        <w:t>300</w:t>
      </w:r>
      <w:r>
        <w:rPr>
          <w:rFonts w:hint="eastAsia"/>
          <w:sz w:val="28"/>
        </w:rPr>
        <w:t>余处，</w:t>
      </w:r>
      <w:r>
        <w:rPr>
          <w:rFonts w:hint="eastAsia"/>
          <w:sz w:val="28"/>
        </w:rPr>
        <w:t>500</w:t>
      </w:r>
      <w:r>
        <w:rPr>
          <w:rFonts w:hint="eastAsia"/>
          <w:sz w:val="28"/>
        </w:rPr>
        <w:t>多个养殖</w:t>
      </w:r>
      <w:r>
        <w:rPr>
          <w:rFonts w:hint="eastAsia"/>
          <w:sz w:val="28"/>
        </w:rPr>
        <w:t>密集村屯配备了吸污车、铲车、运输车等粪污清运设备，散养畜禽粪污基本实现分户收集、统一转运和集中处理，规模以下畜禽粪污收储运社会化服务体系初步形成。四是积极培育畜禽粪污资源化利用产业，鼓励引导社会资本积极投资建设专业化畜禽粪污综合利用机构，截止到</w:t>
      </w:r>
      <w:r>
        <w:rPr>
          <w:rFonts w:hint="eastAsia"/>
          <w:sz w:val="28"/>
        </w:rPr>
        <w:t>2020</w:t>
      </w:r>
      <w:r>
        <w:rPr>
          <w:rFonts w:hint="eastAsia"/>
          <w:sz w:val="28"/>
        </w:rPr>
        <w:t>年，全市粪污综合利用机构已达</w:t>
      </w:r>
      <w:r>
        <w:rPr>
          <w:rFonts w:hint="eastAsia"/>
          <w:sz w:val="28"/>
        </w:rPr>
        <w:t>43</w:t>
      </w:r>
      <w:r>
        <w:rPr>
          <w:rFonts w:hint="eastAsia"/>
          <w:sz w:val="28"/>
        </w:rPr>
        <w:t>家，年粪污处理能力可达</w:t>
      </w:r>
      <w:r>
        <w:rPr>
          <w:rFonts w:hint="eastAsia"/>
          <w:sz w:val="28"/>
        </w:rPr>
        <w:t>350</w:t>
      </w:r>
      <w:r>
        <w:rPr>
          <w:rFonts w:hint="eastAsia"/>
          <w:sz w:val="28"/>
        </w:rPr>
        <w:t>万吨，有机肥生产能力达到</w:t>
      </w:r>
      <w:r>
        <w:rPr>
          <w:rFonts w:hint="eastAsia"/>
          <w:sz w:val="28"/>
        </w:rPr>
        <w:t>110</w:t>
      </w:r>
      <w:r>
        <w:rPr>
          <w:rFonts w:hint="eastAsia"/>
          <w:sz w:val="28"/>
        </w:rPr>
        <w:t>万吨。</w:t>
      </w:r>
    </w:p>
    <w:p w:rsidR="005A1ADB" w:rsidRDefault="000B6ECF">
      <w:pPr>
        <w:widowControl/>
        <w:spacing w:after="120" w:line="300" w:lineRule="auto"/>
        <w:ind w:firstLineChars="200" w:firstLine="560"/>
        <w:rPr>
          <w:sz w:val="28"/>
        </w:rPr>
      </w:pPr>
      <w:r>
        <w:rPr>
          <w:rFonts w:hint="eastAsia"/>
          <w:sz w:val="28"/>
        </w:rPr>
        <w:t>在废弃农膜方面，</w:t>
      </w:r>
      <w:r>
        <w:rPr>
          <w:rFonts w:hint="eastAsia"/>
          <w:sz w:val="28"/>
        </w:rPr>
        <w:t>2020</w:t>
      </w:r>
      <w:r>
        <w:rPr>
          <w:rFonts w:hint="eastAsia"/>
          <w:sz w:val="28"/>
        </w:rPr>
        <w:t>年长春市共使用农膜</w:t>
      </w:r>
      <w:r>
        <w:rPr>
          <w:rFonts w:hint="eastAsia"/>
          <w:sz w:val="28"/>
        </w:rPr>
        <w:t>1.51</w:t>
      </w:r>
      <w:r>
        <w:rPr>
          <w:rFonts w:hint="eastAsia"/>
          <w:sz w:val="28"/>
        </w:rPr>
        <w:t>万吨，农膜回收量为</w:t>
      </w:r>
      <w:r>
        <w:rPr>
          <w:rFonts w:hint="eastAsia"/>
          <w:sz w:val="28"/>
        </w:rPr>
        <w:t>1.39</w:t>
      </w:r>
      <w:r>
        <w:rPr>
          <w:rFonts w:hint="eastAsia"/>
          <w:sz w:val="28"/>
        </w:rPr>
        <w:t>万吨，废弃农膜回收率为</w:t>
      </w:r>
      <w:r>
        <w:rPr>
          <w:rFonts w:hint="eastAsia"/>
          <w:sz w:val="28"/>
        </w:rPr>
        <w:t>91.55%</w:t>
      </w:r>
      <w:r>
        <w:rPr>
          <w:rFonts w:hint="eastAsia"/>
          <w:sz w:val="28"/>
        </w:rPr>
        <w:t>。其中，地膜的使用量、回收量分别为</w:t>
      </w:r>
      <w:r>
        <w:rPr>
          <w:rFonts w:hint="eastAsia"/>
          <w:sz w:val="28"/>
        </w:rPr>
        <w:t>0.25</w:t>
      </w:r>
      <w:r>
        <w:rPr>
          <w:rFonts w:hint="eastAsia"/>
          <w:sz w:val="28"/>
        </w:rPr>
        <w:t>万吨、</w:t>
      </w:r>
      <w:r>
        <w:rPr>
          <w:rFonts w:hint="eastAsia"/>
          <w:sz w:val="28"/>
        </w:rPr>
        <w:t>0.</w:t>
      </w:r>
      <w:r>
        <w:rPr>
          <w:rFonts w:hint="eastAsia"/>
          <w:sz w:val="28"/>
        </w:rPr>
        <w:t>22</w:t>
      </w:r>
      <w:r>
        <w:rPr>
          <w:rFonts w:hint="eastAsia"/>
          <w:sz w:val="28"/>
        </w:rPr>
        <w:t>万吨，废弃地膜回收率为</w:t>
      </w:r>
      <w:r>
        <w:rPr>
          <w:rFonts w:hint="eastAsia"/>
          <w:sz w:val="28"/>
        </w:rPr>
        <w:t>85.34%</w:t>
      </w:r>
      <w:r>
        <w:rPr>
          <w:rFonts w:hint="eastAsia"/>
          <w:sz w:val="28"/>
        </w:rPr>
        <w:t>；棚膜的使用量、回收量分别为</w:t>
      </w:r>
      <w:r>
        <w:rPr>
          <w:rFonts w:hint="eastAsia"/>
          <w:sz w:val="28"/>
        </w:rPr>
        <w:t>1.26</w:t>
      </w:r>
      <w:r>
        <w:rPr>
          <w:rFonts w:hint="eastAsia"/>
          <w:sz w:val="28"/>
        </w:rPr>
        <w:t>万吨、</w:t>
      </w:r>
      <w:r>
        <w:rPr>
          <w:rFonts w:hint="eastAsia"/>
          <w:sz w:val="28"/>
        </w:rPr>
        <w:t>1.17</w:t>
      </w:r>
      <w:r>
        <w:rPr>
          <w:rFonts w:hint="eastAsia"/>
          <w:sz w:val="28"/>
        </w:rPr>
        <w:t>万吨，废弃棚膜回收率为</w:t>
      </w:r>
      <w:r>
        <w:rPr>
          <w:rFonts w:hint="eastAsia"/>
          <w:sz w:val="28"/>
        </w:rPr>
        <w:t>92.81%</w:t>
      </w:r>
      <w:r>
        <w:rPr>
          <w:rFonts w:hint="eastAsia"/>
          <w:sz w:val="28"/>
        </w:rPr>
        <w:t>。</w:t>
      </w:r>
      <w:r>
        <w:rPr>
          <w:rFonts w:hint="eastAsia"/>
          <w:sz w:val="28"/>
        </w:rPr>
        <w:t>2020</w:t>
      </w:r>
      <w:r>
        <w:rPr>
          <w:rFonts w:hint="eastAsia"/>
          <w:sz w:val="28"/>
        </w:rPr>
        <w:t>年全市共有废弃农膜回收企业</w:t>
      </w:r>
      <w:r>
        <w:rPr>
          <w:rFonts w:hint="eastAsia"/>
          <w:sz w:val="28"/>
        </w:rPr>
        <w:t>20</w:t>
      </w:r>
      <w:r>
        <w:rPr>
          <w:rFonts w:hint="eastAsia"/>
          <w:sz w:val="28"/>
        </w:rPr>
        <w:t>家，建立废弃农膜回收网点</w:t>
      </w:r>
      <w:r>
        <w:rPr>
          <w:rFonts w:hint="eastAsia"/>
          <w:sz w:val="28"/>
        </w:rPr>
        <w:t>362</w:t>
      </w:r>
      <w:r>
        <w:rPr>
          <w:rFonts w:hint="eastAsia"/>
          <w:sz w:val="28"/>
        </w:rPr>
        <w:t>个。</w:t>
      </w:r>
    </w:p>
    <w:p w:rsidR="005A1ADB" w:rsidRDefault="000B6ECF">
      <w:pPr>
        <w:widowControl/>
        <w:spacing w:after="120" w:line="300" w:lineRule="auto"/>
        <w:ind w:firstLineChars="200" w:firstLine="560"/>
        <w:rPr>
          <w:sz w:val="28"/>
        </w:rPr>
      </w:pPr>
      <w:r>
        <w:rPr>
          <w:rFonts w:hint="eastAsia"/>
          <w:sz w:val="28"/>
        </w:rPr>
        <w:lastRenderedPageBreak/>
        <w:t>在农药包装废弃物方面，</w:t>
      </w:r>
      <w:r>
        <w:rPr>
          <w:rFonts w:hint="eastAsia"/>
          <w:sz w:val="28"/>
        </w:rPr>
        <w:t>2020</w:t>
      </w:r>
      <w:r>
        <w:rPr>
          <w:rFonts w:hint="eastAsia"/>
          <w:sz w:val="28"/>
        </w:rPr>
        <w:t>年长春市共产生农药包装废弃物</w:t>
      </w:r>
      <w:r>
        <w:rPr>
          <w:rFonts w:hint="eastAsia"/>
          <w:sz w:val="28"/>
        </w:rPr>
        <w:t>129.39</w:t>
      </w:r>
      <w:r>
        <w:rPr>
          <w:rFonts w:hint="eastAsia"/>
          <w:sz w:val="28"/>
        </w:rPr>
        <w:t>吨，回收量为</w:t>
      </w:r>
      <w:r>
        <w:rPr>
          <w:rFonts w:hint="eastAsia"/>
          <w:sz w:val="28"/>
        </w:rPr>
        <w:t>67.98</w:t>
      </w:r>
      <w:r>
        <w:rPr>
          <w:rFonts w:hint="eastAsia"/>
          <w:sz w:val="28"/>
        </w:rPr>
        <w:t>吨，农药包装废弃物回收率为</w:t>
      </w:r>
      <w:r>
        <w:rPr>
          <w:rFonts w:hint="eastAsia"/>
          <w:sz w:val="28"/>
        </w:rPr>
        <w:t>52.54%</w:t>
      </w:r>
      <w:r>
        <w:rPr>
          <w:rFonts w:hint="eastAsia"/>
          <w:sz w:val="28"/>
        </w:rPr>
        <w:t>，回收处理去向包括焚烧发电、其他焚烧、农药大包装回收再利用等。在农药包装废弃物管理方面，</w:t>
      </w:r>
      <w:r>
        <w:rPr>
          <w:rFonts w:hint="eastAsia"/>
          <w:sz w:val="28"/>
        </w:rPr>
        <w:t>2021</w:t>
      </w:r>
      <w:r>
        <w:rPr>
          <w:rFonts w:hint="eastAsia"/>
          <w:sz w:val="28"/>
        </w:rPr>
        <w:t>年长春市印发了《长春市农药包装废弃物回收处置实施方案》，目前，在农药包装废弃物管理方面，</w:t>
      </w:r>
      <w:r>
        <w:rPr>
          <w:rFonts w:hint="eastAsia"/>
          <w:sz w:val="28"/>
        </w:rPr>
        <w:t>由市农业农村局、供销社联合推进农村农药包装废弃物的收集，以村委会为单元，形成农民—村委会—县农业农村站—危废经营单位的收集模式，收集后由与相应的县（市）区政府签订农药包装废弃物收集处置协议的危险废物处置经营单位进行统一处置。</w:t>
      </w:r>
    </w:p>
    <w:p w:rsidR="005A1ADB" w:rsidRDefault="000B6ECF">
      <w:pPr>
        <w:ind w:firstLineChars="200" w:firstLine="560"/>
        <w:rPr>
          <w:sz w:val="28"/>
          <w:szCs w:val="32"/>
        </w:rPr>
      </w:pPr>
      <w:r>
        <w:rPr>
          <w:rFonts w:hint="eastAsia"/>
          <w:sz w:val="28"/>
          <w:szCs w:val="32"/>
        </w:rPr>
        <w:t>在农业固体废物管理方面，长春市制定了《长春市农村环境治理条例》，自</w:t>
      </w:r>
      <w:r>
        <w:rPr>
          <w:rFonts w:hint="eastAsia"/>
          <w:sz w:val="28"/>
          <w:szCs w:val="32"/>
        </w:rPr>
        <w:t>2020</w:t>
      </w:r>
      <w:r>
        <w:rPr>
          <w:rFonts w:hint="eastAsia"/>
          <w:sz w:val="28"/>
          <w:szCs w:val="32"/>
        </w:rPr>
        <w:t>年</w:t>
      </w:r>
      <w:r>
        <w:rPr>
          <w:rFonts w:hint="eastAsia"/>
          <w:sz w:val="28"/>
          <w:szCs w:val="32"/>
        </w:rPr>
        <w:t>1</w:t>
      </w:r>
      <w:r>
        <w:rPr>
          <w:rFonts w:hint="eastAsia"/>
          <w:sz w:val="28"/>
          <w:szCs w:val="32"/>
        </w:rPr>
        <w:t>月</w:t>
      </w:r>
      <w:r>
        <w:rPr>
          <w:rFonts w:hint="eastAsia"/>
          <w:sz w:val="28"/>
          <w:szCs w:val="32"/>
        </w:rPr>
        <w:t>1</w:t>
      </w:r>
      <w:r>
        <w:rPr>
          <w:rFonts w:hint="eastAsia"/>
          <w:sz w:val="28"/>
          <w:szCs w:val="32"/>
        </w:rPr>
        <w:t>日起施行，对市域农村垃圾治理、农业废弃物处理和利用等进行了规定，要求市、县（市）区人民政府应当加强公共厕所和生活垃圾、建筑垃圾、污水处理设施，秸秆、农膜、粪污、农药包装物、病死畜禽处理设施等与农村环境治理</w:t>
      </w:r>
      <w:r>
        <w:rPr>
          <w:rFonts w:hint="eastAsia"/>
          <w:sz w:val="28"/>
          <w:szCs w:val="32"/>
        </w:rPr>
        <w:t>有关的基础设施建设，引导农民进行垃圾分类，推进农村生活垃圾源头减量，明确了畜禽养殖的畜禽粪污无害化处理、资源化利用要求等。</w:t>
      </w:r>
    </w:p>
    <w:p w:rsidR="005A1ADB" w:rsidRDefault="000B6ECF">
      <w:pPr>
        <w:pStyle w:val="5"/>
        <w:rPr>
          <w:rFonts w:ascii="宋体" w:eastAsia="宋体" w:hAnsi="宋体" w:cs="宋体"/>
        </w:rPr>
      </w:pPr>
      <w:r>
        <w:rPr>
          <w:rFonts w:ascii="宋体" w:eastAsia="宋体" w:hAnsi="宋体" w:cs="宋体" w:hint="eastAsia"/>
        </w:rPr>
        <w:t>2.2.2.3</w:t>
      </w:r>
      <w:r>
        <w:rPr>
          <w:rFonts w:ascii="宋体" w:eastAsia="宋体" w:hAnsi="宋体" w:cs="宋体" w:hint="eastAsia"/>
        </w:rPr>
        <w:t>农业固体废物产生预测</w:t>
      </w:r>
    </w:p>
    <w:p w:rsidR="005A1ADB" w:rsidRDefault="000B6ECF">
      <w:pPr>
        <w:ind w:firstLineChars="200" w:firstLine="560"/>
        <w:rPr>
          <w:sz w:val="28"/>
          <w:szCs w:val="28"/>
        </w:rPr>
      </w:pPr>
      <w:r>
        <w:rPr>
          <w:rFonts w:hint="eastAsia"/>
          <w:sz w:val="28"/>
          <w:szCs w:val="32"/>
        </w:rPr>
        <w:t>在农作物秸秆方面，长春市自</w:t>
      </w:r>
      <w:r>
        <w:rPr>
          <w:rFonts w:hint="eastAsia"/>
          <w:sz w:val="28"/>
          <w:szCs w:val="32"/>
        </w:rPr>
        <w:t>2018</w:t>
      </w:r>
      <w:r>
        <w:rPr>
          <w:rFonts w:hint="eastAsia"/>
          <w:sz w:val="28"/>
          <w:szCs w:val="32"/>
        </w:rPr>
        <w:t>年以来开始秸秆产生量的统计工作，且秸秆产生量主要与各类粮食农作物产量有关，因此需采用多元函数模型进行拟合预测。长春市粮食农作物主要为玉米和水稻，采用</w:t>
      </w:r>
      <w:r>
        <w:rPr>
          <w:rFonts w:hint="eastAsia"/>
          <w:sz w:val="28"/>
          <w:szCs w:val="32"/>
        </w:rPr>
        <w:t>2018</w:t>
      </w:r>
      <w:r>
        <w:rPr>
          <w:rFonts w:hint="eastAsia"/>
          <w:sz w:val="28"/>
          <w:szCs w:val="32"/>
        </w:rPr>
        <w:t>年至</w:t>
      </w:r>
      <w:r>
        <w:rPr>
          <w:rFonts w:hint="eastAsia"/>
          <w:sz w:val="28"/>
          <w:szCs w:val="32"/>
        </w:rPr>
        <w:t>2020</w:t>
      </w:r>
      <w:r>
        <w:rPr>
          <w:rFonts w:hint="eastAsia"/>
          <w:sz w:val="28"/>
          <w:szCs w:val="32"/>
        </w:rPr>
        <w:t>年长春市玉米、水稻产量和秸秆产生量数据，构</w:t>
      </w:r>
      <w:r>
        <w:rPr>
          <w:rFonts w:hint="eastAsia"/>
          <w:sz w:val="28"/>
          <w:szCs w:val="32"/>
        </w:rPr>
        <w:lastRenderedPageBreak/>
        <w:t>建二元一次线性模型进行拟合，得到模型的</w:t>
      </w:r>
      <w:r>
        <w:rPr>
          <w:sz w:val="28"/>
          <w:szCs w:val="28"/>
        </w:rPr>
        <w:t>拟合优度（</w:t>
      </w:r>
      <w:r>
        <w:rPr>
          <w:rFonts w:hint="eastAsia"/>
          <w:sz w:val="28"/>
          <w:szCs w:val="28"/>
        </w:rPr>
        <w:t>R</w:t>
      </w:r>
      <w:r>
        <w:rPr>
          <w:sz w:val="28"/>
          <w:szCs w:val="28"/>
          <w:vertAlign w:val="superscript"/>
        </w:rPr>
        <w:t>2</w:t>
      </w:r>
      <w:r>
        <w:rPr>
          <w:sz w:val="28"/>
          <w:szCs w:val="28"/>
        </w:rPr>
        <w:t>）</w:t>
      </w:r>
      <w:r>
        <w:rPr>
          <w:rFonts w:hint="eastAsia"/>
          <w:sz w:val="28"/>
          <w:szCs w:val="28"/>
        </w:rPr>
        <w:t>达</w:t>
      </w:r>
      <w:r>
        <w:rPr>
          <w:rFonts w:hint="eastAsia"/>
          <w:sz w:val="28"/>
          <w:szCs w:val="28"/>
        </w:rPr>
        <w:t>0.97</w:t>
      </w:r>
      <w:r>
        <w:rPr>
          <w:rFonts w:hint="eastAsia"/>
          <w:sz w:val="28"/>
          <w:szCs w:val="28"/>
        </w:rPr>
        <w:t>，拟合效果较好。</w:t>
      </w:r>
      <w:r>
        <w:rPr>
          <w:sz w:val="28"/>
          <w:szCs w:val="28"/>
        </w:rPr>
        <w:t>依据《</w:t>
      </w:r>
      <w:r>
        <w:rPr>
          <w:rFonts w:hint="eastAsia"/>
          <w:sz w:val="28"/>
          <w:szCs w:val="28"/>
        </w:rPr>
        <w:t>长春市农业农村现代化“十四五”规划</w:t>
      </w:r>
      <w:r>
        <w:rPr>
          <w:sz w:val="28"/>
          <w:szCs w:val="28"/>
        </w:rPr>
        <w:t>》，长春市</w:t>
      </w:r>
      <w:r>
        <w:rPr>
          <w:rFonts w:hint="eastAsia"/>
          <w:sz w:val="28"/>
          <w:szCs w:val="28"/>
        </w:rPr>
        <w:t>2</w:t>
      </w:r>
      <w:r>
        <w:rPr>
          <w:sz w:val="28"/>
          <w:szCs w:val="28"/>
        </w:rPr>
        <w:t>025</w:t>
      </w:r>
      <w:r>
        <w:rPr>
          <w:sz w:val="28"/>
          <w:szCs w:val="28"/>
        </w:rPr>
        <w:t>年</w:t>
      </w:r>
      <w:r>
        <w:rPr>
          <w:rFonts w:hint="eastAsia"/>
          <w:sz w:val="28"/>
          <w:szCs w:val="28"/>
        </w:rPr>
        <w:t>玉米产量、水稻产量</w:t>
      </w:r>
      <w:r>
        <w:rPr>
          <w:sz w:val="28"/>
          <w:szCs w:val="28"/>
        </w:rPr>
        <w:t>预计</w:t>
      </w:r>
      <w:r>
        <w:rPr>
          <w:rFonts w:hint="eastAsia"/>
          <w:sz w:val="28"/>
          <w:szCs w:val="28"/>
        </w:rPr>
        <w:t>分别为</w:t>
      </w:r>
      <w:r>
        <w:rPr>
          <w:rFonts w:hint="eastAsia"/>
          <w:sz w:val="28"/>
          <w:szCs w:val="28"/>
        </w:rPr>
        <w:t>1190</w:t>
      </w:r>
      <w:r>
        <w:rPr>
          <w:rFonts w:hint="eastAsia"/>
          <w:sz w:val="28"/>
          <w:szCs w:val="28"/>
        </w:rPr>
        <w:t>万吨、</w:t>
      </w:r>
      <w:r>
        <w:rPr>
          <w:rFonts w:hint="eastAsia"/>
          <w:sz w:val="28"/>
          <w:szCs w:val="28"/>
        </w:rPr>
        <w:t>160</w:t>
      </w:r>
      <w:r>
        <w:rPr>
          <w:rFonts w:hint="eastAsia"/>
          <w:sz w:val="28"/>
          <w:szCs w:val="28"/>
        </w:rPr>
        <w:t>万吨</w:t>
      </w:r>
      <w:r>
        <w:rPr>
          <w:sz w:val="28"/>
          <w:szCs w:val="28"/>
        </w:rPr>
        <w:t>。</w:t>
      </w:r>
      <w:r>
        <w:rPr>
          <w:rFonts w:hint="eastAsia"/>
          <w:sz w:val="28"/>
          <w:szCs w:val="28"/>
        </w:rPr>
        <w:t>综上，根据模型</w:t>
      </w:r>
      <w:r>
        <w:rPr>
          <w:sz w:val="28"/>
          <w:szCs w:val="28"/>
        </w:rPr>
        <w:t>预测得到</w:t>
      </w:r>
      <w:r>
        <w:rPr>
          <w:rFonts w:hint="eastAsia"/>
          <w:sz w:val="28"/>
          <w:szCs w:val="28"/>
        </w:rPr>
        <w:t>2</w:t>
      </w:r>
      <w:r>
        <w:rPr>
          <w:sz w:val="28"/>
          <w:szCs w:val="28"/>
        </w:rPr>
        <w:t>025</w:t>
      </w:r>
      <w:r>
        <w:rPr>
          <w:sz w:val="28"/>
          <w:szCs w:val="28"/>
        </w:rPr>
        <w:t>年</w:t>
      </w:r>
      <w:r>
        <w:rPr>
          <w:rFonts w:hint="eastAsia"/>
          <w:sz w:val="28"/>
          <w:szCs w:val="28"/>
        </w:rPr>
        <w:t>秸秆产生量约为</w:t>
      </w:r>
      <w:r>
        <w:rPr>
          <w:rFonts w:hint="eastAsia"/>
          <w:sz w:val="28"/>
          <w:szCs w:val="28"/>
        </w:rPr>
        <w:t>1315</w:t>
      </w:r>
      <w:r>
        <w:rPr>
          <w:rFonts w:hint="eastAsia"/>
          <w:sz w:val="28"/>
          <w:szCs w:val="28"/>
        </w:rPr>
        <w:t>万吨</w:t>
      </w:r>
      <w:r>
        <w:rPr>
          <w:sz w:val="28"/>
          <w:szCs w:val="28"/>
        </w:rPr>
        <w:t>。</w:t>
      </w:r>
    </w:p>
    <w:p w:rsidR="005A1ADB" w:rsidRDefault="000B6ECF">
      <w:pPr>
        <w:ind w:firstLineChars="200" w:firstLine="560"/>
        <w:rPr>
          <w:sz w:val="28"/>
          <w:szCs w:val="32"/>
        </w:rPr>
      </w:pPr>
      <w:r>
        <w:rPr>
          <w:rFonts w:hint="eastAsia"/>
          <w:sz w:val="28"/>
          <w:szCs w:val="32"/>
        </w:rPr>
        <w:t>在畜禽粪污方面，主要采用产污系数法进行预测。</w:t>
      </w:r>
      <w:r>
        <w:rPr>
          <w:sz w:val="28"/>
          <w:szCs w:val="28"/>
        </w:rPr>
        <w:t>依据《</w:t>
      </w:r>
      <w:r>
        <w:rPr>
          <w:rFonts w:hint="eastAsia"/>
          <w:sz w:val="28"/>
          <w:szCs w:val="28"/>
        </w:rPr>
        <w:t>长春市畜牧业发展“十四五”规划</w:t>
      </w:r>
      <w:r>
        <w:rPr>
          <w:sz w:val="28"/>
          <w:szCs w:val="28"/>
        </w:rPr>
        <w:t>》，长</w:t>
      </w:r>
      <w:r>
        <w:rPr>
          <w:rFonts w:hint="eastAsia"/>
          <w:sz w:val="28"/>
          <w:szCs w:val="32"/>
        </w:rPr>
        <w:t>春市</w:t>
      </w:r>
      <w:r>
        <w:rPr>
          <w:rFonts w:hint="eastAsia"/>
          <w:sz w:val="28"/>
          <w:szCs w:val="32"/>
        </w:rPr>
        <w:t>2025</w:t>
      </w:r>
      <w:r>
        <w:rPr>
          <w:rFonts w:hint="eastAsia"/>
          <w:sz w:val="28"/>
          <w:szCs w:val="32"/>
        </w:rPr>
        <w:t>年生猪、肉牛、肉羊、梅花鹿、奶牛、肉鸡的规划发展量分别为</w:t>
      </w:r>
      <w:r>
        <w:rPr>
          <w:rFonts w:hint="eastAsia"/>
          <w:sz w:val="28"/>
          <w:szCs w:val="32"/>
        </w:rPr>
        <w:t>1000</w:t>
      </w:r>
      <w:r>
        <w:rPr>
          <w:rFonts w:hint="eastAsia"/>
          <w:sz w:val="28"/>
          <w:szCs w:val="32"/>
        </w:rPr>
        <w:t>万头、</w:t>
      </w:r>
      <w:r>
        <w:rPr>
          <w:rFonts w:hint="eastAsia"/>
          <w:sz w:val="28"/>
          <w:szCs w:val="32"/>
        </w:rPr>
        <w:t>300</w:t>
      </w:r>
      <w:r>
        <w:rPr>
          <w:rFonts w:hint="eastAsia"/>
          <w:sz w:val="28"/>
          <w:szCs w:val="32"/>
        </w:rPr>
        <w:t>万头、</w:t>
      </w:r>
      <w:r>
        <w:rPr>
          <w:rFonts w:hint="eastAsia"/>
          <w:sz w:val="28"/>
          <w:szCs w:val="32"/>
        </w:rPr>
        <w:t>100</w:t>
      </w:r>
      <w:r>
        <w:rPr>
          <w:rFonts w:hint="eastAsia"/>
          <w:sz w:val="28"/>
          <w:szCs w:val="32"/>
        </w:rPr>
        <w:t>万只、</w:t>
      </w:r>
      <w:r>
        <w:rPr>
          <w:rFonts w:hint="eastAsia"/>
          <w:sz w:val="28"/>
          <w:szCs w:val="32"/>
        </w:rPr>
        <w:t>30</w:t>
      </w:r>
      <w:r>
        <w:rPr>
          <w:rFonts w:hint="eastAsia"/>
          <w:sz w:val="28"/>
          <w:szCs w:val="32"/>
        </w:rPr>
        <w:t>万只、</w:t>
      </w:r>
      <w:r>
        <w:rPr>
          <w:rFonts w:hint="eastAsia"/>
          <w:sz w:val="28"/>
          <w:szCs w:val="32"/>
        </w:rPr>
        <w:t>6</w:t>
      </w:r>
      <w:r>
        <w:rPr>
          <w:rFonts w:hint="eastAsia"/>
          <w:sz w:val="28"/>
          <w:szCs w:val="32"/>
        </w:rPr>
        <w:t>万头、</w:t>
      </w:r>
      <w:r>
        <w:rPr>
          <w:rFonts w:hint="eastAsia"/>
          <w:sz w:val="28"/>
          <w:szCs w:val="32"/>
        </w:rPr>
        <w:t>4</w:t>
      </w:r>
      <w:r>
        <w:rPr>
          <w:rFonts w:hint="eastAsia"/>
          <w:sz w:val="28"/>
          <w:szCs w:val="32"/>
        </w:rPr>
        <w:t>亿羽，参考“十三五”期间长春市各类畜禽的出栏率估算</w:t>
      </w:r>
      <w:r>
        <w:rPr>
          <w:rFonts w:hint="eastAsia"/>
          <w:sz w:val="28"/>
          <w:szCs w:val="32"/>
        </w:rPr>
        <w:t>2025</w:t>
      </w:r>
      <w:r>
        <w:rPr>
          <w:rFonts w:hint="eastAsia"/>
          <w:sz w:val="28"/>
          <w:szCs w:val="32"/>
        </w:rPr>
        <w:t>年各类畜禽的存栏量。在畜禽产污系数方面，采用《第一次全国污染源普查畜禽养</w:t>
      </w:r>
      <w:r>
        <w:rPr>
          <w:rFonts w:hint="eastAsia"/>
          <w:sz w:val="28"/>
          <w:szCs w:val="32"/>
        </w:rPr>
        <w:t>殖业源产排污系数手册》中《畜禽养殖产污系数表》所列出的东北区各类畜禽的产污系数，同时参考《畜禽粪污土地承载力测算技术指南》中各类畜禽的折算系数，综合计算得到</w:t>
      </w:r>
      <w:r>
        <w:rPr>
          <w:sz w:val="28"/>
          <w:szCs w:val="32"/>
        </w:rPr>
        <w:t>2</w:t>
      </w:r>
      <w:r>
        <w:rPr>
          <w:rFonts w:hint="eastAsia"/>
          <w:sz w:val="28"/>
          <w:szCs w:val="32"/>
        </w:rPr>
        <w:t>025</w:t>
      </w:r>
      <w:r>
        <w:rPr>
          <w:rFonts w:hint="eastAsia"/>
          <w:sz w:val="28"/>
          <w:szCs w:val="32"/>
        </w:rPr>
        <w:t>年长春市畜禽粪污产生量约为</w:t>
      </w:r>
      <w:r>
        <w:rPr>
          <w:rFonts w:hint="eastAsia"/>
          <w:sz w:val="28"/>
          <w:szCs w:val="32"/>
        </w:rPr>
        <w:t>2704</w:t>
      </w:r>
      <w:r>
        <w:rPr>
          <w:rFonts w:hint="eastAsia"/>
          <w:sz w:val="28"/>
          <w:szCs w:val="32"/>
        </w:rPr>
        <w:t>万吨。</w:t>
      </w:r>
    </w:p>
    <w:p w:rsidR="005A1ADB" w:rsidRDefault="000B6ECF">
      <w:pPr>
        <w:ind w:firstLineChars="200" w:firstLine="560"/>
        <w:rPr>
          <w:sz w:val="28"/>
        </w:rPr>
      </w:pPr>
      <w:r>
        <w:rPr>
          <w:rFonts w:hint="eastAsia"/>
          <w:sz w:val="28"/>
          <w:szCs w:val="32"/>
        </w:rPr>
        <w:t>在农用薄膜方面，</w:t>
      </w:r>
      <w:r>
        <w:rPr>
          <w:sz w:val="28"/>
          <w:szCs w:val="28"/>
        </w:rPr>
        <w:t>依据《</w:t>
      </w:r>
      <w:r>
        <w:rPr>
          <w:rFonts w:hint="eastAsia"/>
          <w:sz w:val="28"/>
          <w:szCs w:val="28"/>
        </w:rPr>
        <w:t>长春市农业农村现代化“十四五”规划</w:t>
      </w:r>
      <w:r>
        <w:rPr>
          <w:sz w:val="28"/>
          <w:szCs w:val="28"/>
        </w:rPr>
        <w:t>》，长春市</w:t>
      </w:r>
      <w:r>
        <w:rPr>
          <w:rFonts w:hint="eastAsia"/>
          <w:sz w:val="28"/>
          <w:szCs w:val="28"/>
        </w:rPr>
        <w:t>2</w:t>
      </w:r>
      <w:r>
        <w:rPr>
          <w:sz w:val="28"/>
          <w:szCs w:val="28"/>
        </w:rPr>
        <w:t>025</w:t>
      </w:r>
      <w:r>
        <w:rPr>
          <w:sz w:val="28"/>
          <w:szCs w:val="28"/>
        </w:rPr>
        <w:t>年</w:t>
      </w:r>
      <w:r>
        <w:rPr>
          <w:rFonts w:hint="eastAsia"/>
          <w:sz w:val="28"/>
        </w:rPr>
        <w:t>全市耕地保有量保持在</w:t>
      </w:r>
      <w:r>
        <w:rPr>
          <w:rFonts w:hint="eastAsia"/>
          <w:sz w:val="28"/>
        </w:rPr>
        <w:t>2510</w:t>
      </w:r>
      <w:r>
        <w:rPr>
          <w:rFonts w:hint="eastAsia"/>
          <w:sz w:val="28"/>
        </w:rPr>
        <w:t>万亩以上，且未规划</w:t>
      </w:r>
      <w:r>
        <w:rPr>
          <w:rFonts w:hint="eastAsia"/>
          <w:sz w:val="28"/>
        </w:rPr>
        <w:t>2025</w:t>
      </w:r>
      <w:r>
        <w:rPr>
          <w:rFonts w:hint="eastAsia"/>
          <w:sz w:val="28"/>
        </w:rPr>
        <w:t>年的</w:t>
      </w:r>
      <w:r>
        <w:rPr>
          <w:rFonts w:hint="eastAsia"/>
          <w:sz w:val="28"/>
          <w:szCs w:val="32"/>
        </w:rPr>
        <w:t>农膜覆膜面积</w:t>
      </w:r>
      <w:r>
        <w:rPr>
          <w:rFonts w:hint="eastAsia"/>
          <w:sz w:val="28"/>
        </w:rPr>
        <w:t>。</w:t>
      </w:r>
      <w:r>
        <w:rPr>
          <w:rFonts w:hint="eastAsia"/>
          <w:sz w:val="28"/>
          <w:szCs w:val="32"/>
        </w:rPr>
        <w:t>在农膜覆膜面积占耕地面积的比例不变的情况下，</w:t>
      </w:r>
      <w:r>
        <w:rPr>
          <w:rFonts w:hint="eastAsia"/>
          <w:sz w:val="28"/>
        </w:rPr>
        <w:t>结合</w:t>
      </w:r>
      <w:r>
        <w:rPr>
          <w:rFonts w:hint="eastAsia"/>
          <w:sz w:val="28"/>
        </w:rPr>
        <w:t>2020</w:t>
      </w:r>
      <w:r>
        <w:rPr>
          <w:rFonts w:hint="eastAsia"/>
          <w:sz w:val="28"/>
        </w:rPr>
        <w:t>年长春市耕地面积和农膜使用量，综合计算得到</w:t>
      </w:r>
      <w:r>
        <w:rPr>
          <w:rFonts w:hint="eastAsia"/>
          <w:sz w:val="28"/>
        </w:rPr>
        <w:t>2025</w:t>
      </w:r>
      <w:r>
        <w:rPr>
          <w:rFonts w:hint="eastAsia"/>
          <w:sz w:val="28"/>
        </w:rPr>
        <w:t>年长春市农膜使用量约为</w:t>
      </w:r>
      <w:r>
        <w:rPr>
          <w:rFonts w:hint="eastAsia"/>
          <w:sz w:val="28"/>
        </w:rPr>
        <w:t>1.62</w:t>
      </w:r>
      <w:r>
        <w:rPr>
          <w:rFonts w:hint="eastAsia"/>
          <w:sz w:val="28"/>
        </w:rPr>
        <w:t>万吨。</w:t>
      </w:r>
    </w:p>
    <w:p w:rsidR="005A1ADB" w:rsidRDefault="000B6ECF">
      <w:pPr>
        <w:ind w:firstLineChars="200" w:firstLine="560"/>
        <w:rPr>
          <w:sz w:val="28"/>
        </w:rPr>
      </w:pPr>
      <w:r>
        <w:rPr>
          <w:rFonts w:hint="eastAsia"/>
          <w:sz w:val="28"/>
        </w:rPr>
        <w:t>在农药包装废弃</w:t>
      </w:r>
      <w:r>
        <w:rPr>
          <w:rFonts w:hint="eastAsia"/>
          <w:sz w:val="28"/>
        </w:rPr>
        <w:t>物方面，</w:t>
      </w:r>
      <w:r>
        <w:rPr>
          <w:sz w:val="28"/>
          <w:szCs w:val="28"/>
        </w:rPr>
        <w:t>依据《</w:t>
      </w:r>
      <w:r>
        <w:rPr>
          <w:rFonts w:hint="eastAsia"/>
          <w:sz w:val="28"/>
          <w:szCs w:val="28"/>
        </w:rPr>
        <w:t>长春市农业农村现代化“十四五”规划</w:t>
      </w:r>
      <w:r>
        <w:rPr>
          <w:sz w:val="28"/>
          <w:szCs w:val="28"/>
        </w:rPr>
        <w:t>》，长春市</w:t>
      </w:r>
      <w:r>
        <w:rPr>
          <w:rFonts w:hint="eastAsia"/>
          <w:sz w:val="28"/>
          <w:szCs w:val="28"/>
        </w:rPr>
        <w:t>2</w:t>
      </w:r>
      <w:r>
        <w:rPr>
          <w:sz w:val="28"/>
          <w:szCs w:val="28"/>
        </w:rPr>
        <w:t>025</w:t>
      </w:r>
      <w:r>
        <w:rPr>
          <w:sz w:val="28"/>
          <w:szCs w:val="28"/>
        </w:rPr>
        <w:t>年</w:t>
      </w:r>
      <w:r>
        <w:rPr>
          <w:rFonts w:hint="eastAsia"/>
          <w:sz w:val="28"/>
        </w:rPr>
        <w:t>全市耕地保有量保持在</w:t>
      </w:r>
      <w:r>
        <w:rPr>
          <w:rFonts w:hint="eastAsia"/>
          <w:sz w:val="28"/>
        </w:rPr>
        <w:t>2510</w:t>
      </w:r>
      <w:r>
        <w:rPr>
          <w:rFonts w:hint="eastAsia"/>
          <w:sz w:val="28"/>
        </w:rPr>
        <w:t>万亩以上。</w:t>
      </w:r>
      <w:r>
        <w:rPr>
          <w:rFonts w:hint="eastAsia"/>
          <w:sz w:val="28"/>
        </w:rPr>
        <w:t>2025</w:t>
      </w:r>
      <w:r>
        <w:rPr>
          <w:rFonts w:hint="eastAsia"/>
          <w:sz w:val="28"/>
        </w:rPr>
        <w:t>年长春市化学农药施用量预计比</w:t>
      </w:r>
      <w:r>
        <w:rPr>
          <w:rFonts w:hint="eastAsia"/>
          <w:sz w:val="28"/>
        </w:rPr>
        <w:t>2020</w:t>
      </w:r>
      <w:r>
        <w:rPr>
          <w:rFonts w:hint="eastAsia"/>
          <w:sz w:val="28"/>
        </w:rPr>
        <w:t>年亩均下降</w:t>
      </w:r>
      <w:r>
        <w:rPr>
          <w:rFonts w:hint="eastAsia"/>
          <w:sz w:val="28"/>
        </w:rPr>
        <w:t>2%</w:t>
      </w:r>
      <w:r>
        <w:rPr>
          <w:rFonts w:hint="eastAsia"/>
          <w:sz w:val="28"/>
        </w:rPr>
        <w:t>，结合</w:t>
      </w:r>
      <w:r>
        <w:rPr>
          <w:rFonts w:hint="eastAsia"/>
          <w:sz w:val="28"/>
        </w:rPr>
        <w:t>2020</w:t>
      </w:r>
      <w:r>
        <w:rPr>
          <w:rFonts w:hint="eastAsia"/>
          <w:sz w:val="28"/>
        </w:rPr>
        <w:t>年长春市耕地面积和农药包装废弃物产生量，综合计算得到</w:t>
      </w:r>
      <w:r>
        <w:rPr>
          <w:rFonts w:hint="eastAsia"/>
          <w:sz w:val="28"/>
        </w:rPr>
        <w:t>2025</w:t>
      </w:r>
      <w:r>
        <w:rPr>
          <w:rFonts w:hint="eastAsia"/>
          <w:sz w:val="28"/>
        </w:rPr>
        <w:t>年长</w:t>
      </w:r>
      <w:r>
        <w:rPr>
          <w:rFonts w:hint="eastAsia"/>
          <w:sz w:val="28"/>
        </w:rPr>
        <w:lastRenderedPageBreak/>
        <w:t>春市农药包装废弃物产生量约为</w:t>
      </w:r>
      <w:r>
        <w:rPr>
          <w:rFonts w:hint="eastAsia"/>
          <w:sz w:val="28"/>
        </w:rPr>
        <w:t>136</w:t>
      </w:r>
      <w:r>
        <w:rPr>
          <w:rFonts w:hint="eastAsia"/>
          <w:sz w:val="28"/>
        </w:rPr>
        <w:t>吨。</w:t>
      </w:r>
    </w:p>
    <w:p w:rsidR="005A1ADB" w:rsidRDefault="000B6ECF">
      <w:pPr>
        <w:pStyle w:val="4"/>
      </w:pPr>
      <w:r>
        <w:rPr>
          <w:rFonts w:hint="eastAsia"/>
        </w:rPr>
        <w:t>2.2.3</w:t>
      </w:r>
      <w:r>
        <w:rPr>
          <w:rFonts w:hint="eastAsia"/>
        </w:rPr>
        <w:t>城市发展及生活源固体废物管理现状</w:t>
      </w:r>
    </w:p>
    <w:p w:rsidR="005A1ADB" w:rsidRDefault="000B6ECF">
      <w:pPr>
        <w:pStyle w:val="5"/>
        <w:rPr>
          <w:rFonts w:ascii="宋体" w:eastAsia="宋体" w:hAnsi="宋体" w:cs="宋体"/>
        </w:rPr>
      </w:pPr>
      <w:r>
        <w:rPr>
          <w:rFonts w:ascii="宋体" w:eastAsia="宋体" w:hAnsi="宋体" w:cs="宋体" w:hint="eastAsia"/>
        </w:rPr>
        <w:t>2.2.3.1</w:t>
      </w:r>
      <w:r>
        <w:rPr>
          <w:rFonts w:ascii="宋体" w:eastAsia="宋体" w:hAnsi="宋体" w:cs="宋体" w:hint="eastAsia"/>
        </w:rPr>
        <w:t>城市发展基本情况</w:t>
      </w:r>
    </w:p>
    <w:p w:rsidR="005A1ADB" w:rsidRDefault="000B6ECF">
      <w:pPr>
        <w:widowControl/>
        <w:adjustRightInd w:val="0"/>
        <w:snapToGrid w:val="0"/>
        <w:spacing w:after="120" w:line="360" w:lineRule="auto"/>
        <w:ind w:firstLineChars="200" w:firstLine="560"/>
        <w:jc w:val="left"/>
        <w:rPr>
          <w:sz w:val="28"/>
        </w:rPr>
      </w:pPr>
      <w:r>
        <w:rPr>
          <w:rFonts w:hint="eastAsia"/>
          <w:sz w:val="28"/>
        </w:rPr>
        <w:t>在城市发展方面，长春市</w:t>
      </w:r>
      <w:r>
        <w:rPr>
          <w:rFonts w:hint="eastAsia"/>
          <w:sz w:val="28"/>
        </w:rPr>
        <w:t>2020</w:t>
      </w:r>
      <w:r>
        <w:rPr>
          <w:rFonts w:hint="eastAsia"/>
          <w:sz w:val="28"/>
        </w:rPr>
        <w:t>年末户籍总人口为</w:t>
      </w:r>
      <w:r>
        <w:rPr>
          <w:rFonts w:hint="eastAsia"/>
          <w:sz w:val="28"/>
        </w:rPr>
        <w:t>853.4</w:t>
      </w:r>
      <w:r>
        <w:rPr>
          <w:rFonts w:hint="eastAsia"/>
          <w:sz w:val="28"/>
        </w:rPr>
        <w:t>万人，其中，市区人口</w:t>
      </w:r>
      <w:r>
        <w:rPr>
          <w:rFonts w:hint="eastAsia"/>
          <w:sz w:val="28"/>
        </w:rPr>
        <w:t>446.8</w:t>
      </w:r>
      <w:r>
        <w:rPr>
          <w:rFonts w:hint="eastAsia"/>
          <w:sz w:val="28"/>
        </w:rPr>
        <w:t>万人，四县（市）人口</w:t>
      </w:r>
      <w:r>
        <w:rPr>
          <w:rFonts w:hint="eastAsia"/>
          <w:sz w:val="28"/>
        </w:rPr>
        <w:t>406.6</w:t>
      </w:r>
      <w:r>
        <w:rPr>
          <w:rFonts w:hint="eastAsia"/>
          <w:sz w:val="28"/>
        </w:rPr>
        <w:t>万人。在旅游业方面，</w:t>
      </w:r>
      <w:r>
        <w:rPr>
          <w:rFonts w:hint="eastAsia"/>
          <w:sz w:val="28"/>
        </w:rPr>
        <w:t>2020</w:t>
      </w:r>
      <w:r>
        <w:rPr>
          <w:rFonts w:hint="eastAsia"/>
          <w:sz w:val="28"/>
        </w:rPr>
        <w:t>年全市来长</w:t>
      </w:r>
      <w:r>
        <w:rPr>
          <w:rFonts w:hint="eastAsia"/>
          <w:sz w:val="28"/>
        </w:rPr>
        <w:t>旅游人数达到</w:t>
      </w:r>
      <w:r>
        <w:rPr>
          <w:rFonts w:hint="eastAsia"/>
          <w:sz w:val="28"/>
        </w:rPr>
        <w:t>7238.25</w:t>
      </w:r>
      <w:r>
        <w:rPr>
          <w:rFonts w:hint="eastAsia"/>
          <w:sz w:val="28"/>
        </w:rPr>
        <w:t>万人次，全年旅游总收入</w:t>
      </w:r>
      <w:r>
        <w:rPr>
          <w:rFonts w:hint="eastAsia"/>
          <w:sz w:val="28"/>
        </w:rPr>
        <w:t>1381.52</w:t>
      </w:r>
      <w:r>
        <w:rPr>
          <w:rFonts w:hint="eastAsia"/>
          <w:sz w:val="28"/>
        </w:rPr>
        <w:t>亿元。</w:t>
      </w:r>
    </w:p>
    <w:p w:rsidR="005A1ADB" w:rsidRDefault="000B6ECF">
      <w:pPr>
        <w:widowControl/>
        <w:adjustRightInd w:val="0"/>
        <w:snapToGrid w:val="0"/>
        <w:spacing w:after="120" w:line="360" w:lineRule="auto"/>
        <w:ind w:firstLineChars="200" w:firstLine="560"/>
        <w:jc w:val="left"/>
        <w:rPr>
          <w:sz w:val="28"/>
        </w:rPr>
      </w:pPr>
      <w:r>
        <w:rPr>
          <w:rFonts w:hint="eastAsia"/>
          <w:sz w:val="28"/>
        </w:rPr>
        <w:t>在邮政业方面，</w:t>
      </w:r>
      <w:r>
        <w:rPr>
          <w:rFonts w:hint="eastAsia"/>
          <w:sz w:val="28"/>
        </w:rPr>
        <w:t>2020</w:t>
      </w:r>
      <w:r>
        <w:rPr>
          <w:rFonts w:hint="eastAsia"/>
          <w:sz w:val="28"/>
        </w:rPr>
        <w:t>年末完成邮政业务总量</w:t>
      </w:r>
      <w:r>
        <w:rPr>
          <w:rFonts w:hint="eastAsia"/>
          <w:sz w:val="28"/>
        </w:rPr>
        <w:t>53.8</w:t>
      </w:r>
      <w:r>
        <w:rPr>
          <w:rFonts w:hint="eastAsia"/>
          <w:sz w:val="28"/>
        </w:rPr>
        <w:t>亿元，邮政寄递服务</w:t>
      </w:r>
      <w:r>
        <w:rPr>
          <w:rFonts w:hint="eastAsia"/>
          <w:sz w:val="28"/>
        </w:rPr>
        <w:t>1.1</w:t>
      </w:r>
      <w:r>
        <w:rPr>
          <w:rFonts w:hint="eastAsia"/>
          <w:sz w:val="28"/>
        </w:rPr>
        <w:t>亿件，其中，邮政函件业务</w:t>
      </w:r>
      <w:r>
        <w:rPr>
          <w:rFonts w:hint="eastAsia"/>
          <w:sz w:val="28"/>
        </w:rPr>
        <w:t>626.8</w:t>
      </w:r>
      <w:r>
        <w:rPr>
          <w:rFonts w:hint="eastAsia"/>
          <w:sz w:val="28"/>
        </w:rPr>
        <w:t>万件，包裹业务量</w:t>
      </w:r>
      <w:r>
        <w:rPr>
          <w:rFonts w:hint="eastAsia"/>
          <w:sz w:val="28"/>
        </w:rPr>
        <w:t>9.3</w:t>
      </w:r>
      <w:r>
        <w:rPr>
          <w:rFonts w:hint="eastAsia"/>
          <w:sz w:val="28"/>
        </w:rPr>
        <w:t>万件，快递业务量</w:t>
      </w:r>
      <w:r>
        <w:rPr>
          <w:rFonts w:hint="eastAsia"/>
          <w:sz w:val="28"/>
        </w:rPr>
        <w:t>2.4</w:t>
      </w:r>
      <w:r>
        <w:rPr>
          <w:rFonts w:hint="eastAsia"/>
          <w:sz w:val="28"/>
        </w:rPr>
        <w:t>亿件。</w:t>
      </w:r>
    </w:p>
    <w:p w:rsidR="005A1ADB" w:rsidRDefault="000B6ECF">
      <w:pPr>
        <w:widowControl/>
        <w:adjustRightInd w:val="0"/>
        <w:snapToGrid w:val="0"/>
        <w:spacing w:after="120" w:line="360" w:lineRule="auto"/>
        <w:ind w:firstLineChars="200" w:firstLine="560"/>
        <w:jc w:val="left"/>
        <w:rPr>
          <w:sz w:val="28"/>
        </w:rPr>
      </w:pPr>
      <w:r>
        <w:rPr>
          <w:rFonts w:hint="eastAsia"/>
          <w:sz w:val="28"/>
        </w:rPr>
        <w:t>在交通方面，</w:t>
      </w:r>
      <w:r>
        <w:rPr>
          <w:rFonts w:hint="eastAsia"/>
          <w:sz w:val="28"/>
        </w:rPr>
        <w:t>2020</w:t>
      </w:r>
      <w:r>
        <w:rPr>
          <w:rFonts w:hint="eastAsia"/>
          <w:sz w:val="28"/>
        </w:rPr>
        <w:t>年末全市机动车保有量</w:t>
      </w:r>
      <w:r>
        <w:rPr>
          <w:rFonts w:hint="eastAsia"/>
          <w:sz w:val="28"/>
        </w:rPr>
        <w:t>241.6</w:t>
      </w:r>
      <w:r>
        <w:rPr>
          <w:rFonts w:hint="eastAsia"/>
          <w:sz w:val="28"/>
        </w:rPr>
        <w:t>万辆，其中载客汽车保有量</w:t>
      </w:r>
      <w:r>
        <w:rPr>
          <w:rFonts w:hint="eastAsia"/>
          <w:sz w:val="28"/>
        </w:rPr>
        <w:t>189.4</w:t>
      </w:r>
      <w:r>
        <w:rPr>
          <w:rFonts w:hint="eastAsia"/>
          <w:sz w:val="28"/>
        </w:rPr>
        <w:t>万辆，占机动车保有量的</w:t>
      </w:r>
      <w:r>
        <w:rPr>
          <w:rFonts w:hint="eastAsia"/>
          <w:sz w:val="28"/>
        </w:rPr>
        <w:t>78.4%</w:t>
      </w:r>
      <w:r>
        <w:rPr>
          <w:rFonts w:hint="eastAsia"/>
          <w:sz w:val="28"/>
        </w:rPr>
        <w:t>。载货汽车、摩托车、挂车和其他类型车辆分别各占机动车保有量的</w:t>
      </w:r>
      <w:r>
        <w:rPr>
          <w:rFonts w:hint="eastAsia"/>
          <w:sz w:val="28"/>
        </w:rPr>
        <w:t>8.3%</w:t>
      </w:r>
      <w:r>
        <w:rPr>
          <w:rFonts w:hint="eastAsia"/>
          <w:sz w:val="28"/>
        </w:rPr>
        <w:t>、</w:t>
      </w:r>
      <w:r>
        <w:rPr>
          <w:rFonts w:hint="eastAsia"/>
          <w:sz w:val="28"/>
        </w:rPr>
        <w:t>11.5%</w:t>
      </w:r>
      <w:r>
        <w:rPr>
          <w:rFonts w:hint="eastAsia"/>
          <w:sz w:val="28"/>
        </w:rPr>
        <w:t>、</w:t>
      </w:r>
      <w:r>
        <w:rPr>
          <w:rFonts w:hint="eastAsia"/>
          <w:sz w:val="28"/>
        </w:rPr>
        <w:t>1.4%</w:t>
      </w:r>
      <w:r>
        <w:rPr>
          <w:rFonts w:hint="eastAsia"/>
          <w:sz w:val="28"/>
        </w:rPr>
        <w:t>和</w:t>
      </w:r>
      <w:r>
        <w:rPr>
          <w:rFonts w:hint="eastAsia"/>
          <w:sz w:val="28"/>
        </w:rPr>
        <w:t>0.4%</w:t>
      </w:r>
      <w:r>
        <w:rPr>
          <w:rFonts w:hint="eastAsia"/>
          <w:sz w:val="28"/>
        </w:rPr>
        <w:t>。</w:t>
      </w:r>
      <w:r>
        <w:rPr>
          <w:rFonts w:hint="eastAsia"/>
          <w:sz w:val="28"/>
        </w:rPr>
        <w:t>2020</w:t>
      </w:r>
      <w:r>
        <w:rPr>
          <w:rFonts w:hint="eastAsia"/>
          <w:sz w:val="28"/>
        </w:rPr>
        <w:t>年新注册机动车</w:t>
      </w:r>
      <w:r>
        <w:rPr>
          <w:rFonts w:hint="eastAsia"/>
          <w:sz w:val="28"/>
        </w:rPr>
        <w:t>17.9</w:t>
      </w:r>
      <w:r>
        <w:rPr>
          <w:rFonts w:hint="eastAsia"/>
          <w:sz w:val="28"/>
        </w:rPr>
        <w:t>万辆，其中小型载客汽车</w:t>
      </w:r>
      <w:r>
        <w:rPr>
          <w:rFonts w:hint="eastAsia"/>
          <w:sz w:val="28"/>
        </w:rPr>
        <w:t>14.1</w:t>
      </w:r>
      <w:r>
        <w:rPr>
          <w:rFonts w:hint="eastAsia"/>
          <w:sz w:val="28"/>
        </w:rPr>
        <w:t>万辆</w:t>
      </w:r>
      <w:r>
        <w:rPr>
          <w:rFonts w:hint="eastAsia"/>
          <w:sz w:val="28"/>
        </w:rPr>
        <w:t>，占新注册机动车总数的</w:t>
      </w:r>
      <w:r>
        <w:rPr>
          <w:rFonts w:hint="eastAsia"/>
          <w:sz w:val="28"/>
        </w:rPr>
        <w:t>78.8%</w:t>
      </w:r>
      <w:r>
        <w:rPr>
          <w:rFonts w:hint="eastAsia"/>
          <w:sz w:val="28"/>
        </w:rPr>
        <w:t>。</w:t>
      </w:r>
    </w:p>
    <w:p w:rsidR="005A1ADB" w:rsidRDefault="000B6ECF">
      <w:pPr>
        <w:widowControl/>
        <w:adjustRightInd w:val="0"/>
        <w:snapToGrid w:val="0"/>
        <w:spacing w:after="120" w:line="360" w:lineRule="auto"/>
        <w:ind w:firstLineChars="200" w:firstLine="560"/>
        <w:jc w:val="left"/>
        <w:rPr>
          <w:sz w:val="28"/>
        </w:rPr>
      </w:pPr>
      <w:r>
        <w:rPr>
          <w:rFonts w:hint="eastAsia"/>
          <w:sz w:val="28"/>
        </w:rPr>
        <w:t>在卫生方面，</w:t>
      </w:r>
      <w:r>
        <w:rPr>
          <w:rFonts w:hint="eastAsia"/>
          <w:sz w:val="28"/>
        </w:rPr>
        <w:t>2020</w:t>
      </w:r>
      <w:r>
        <w:rPr>
          <w:rFonts w:hint="eastAsia"/>
          <w:sz w:val="28"/>
        </w:rPr>
        <w:t>年末全市共有卫生医疗机构</w:t>
      </w:r>
      <w:r>
        <w:rPr>
          <w:rFonts w:hint="eastAsia"/>
          <w:sz w:val="28"/>
        </w:rPr>
        <w:t>7966</w:t>
      </w:r>
      <w:r>
        <w:rPr>
          <w:rFonts w:hint="eastAsia"/>
          <w:sz w:val="28"/>
        </w:rPr>
        <w:t>个，其中，医院、卫生院</w:t>
      </w:r>
      <w:r>
        <w:rPr>
          <w:rFonts w:hint="eastAsia"/>
          <w:sz w:val="28"/>
        </w:rPr>
        <w:t>377</w:t>
      </w:r>
      <w:r>
        <w:rPr>
          <w:rFonts w:hint="eastAsia"/>
          <w:sz w:val="28"/>
        </w:rPr>
        <w:t>所，拥有医疗床位</w:t>
      </w:r>
      <w:r>
        <w:rPr>
          <w:rFonts w:hint="eastAsia"/>
          <w:sz w:val="28"/>
        </w:rPr>
        <w:t>6.5</w:t>
      </w:r>
      <w:r>
        <w:rPr>
          <w:rFonts w:hint="eastAsia"/>
          <w:sz w:val="28"/>
        </w:rPr>
        <w:t>万张。</w:t>
      </w:r>
    </w:p>
    <w:p w:rsidR="005A1ADB" w:rsidRDefault="000B6ECF">
      <w:pPr>
        <w:pStyle w:val="5"/>
        <w:rPr>
          <w:rFonts w:ascii="宋体" w:eastAsia="宋体" w:hAnsi="宋体" w:cs="宋体"/>
        </w:rPr>
      </w:pPr>
      <w:r>
        <w:rPr>
          <w:rFonts w:ascii="宋体" w:eastAsia="宋体" w:hAnsi="宋体" w:cs="宋体" w:hint="eastAsia"/>
        </w:rPr>
        <w:t>2.2.3.2</w:t>
      </w:r>
      <w:r>
        <w:rPr>
          <w:rFonts w:ascii="宋体" w:eastAsia="宋体" w:hAnsi="宋体" w:cs="宋体" w:hint="eastAsia"/>
        </w:rPr>
        <w:t>生活源固体废物管理现状</w:t>
      </w:r>
    </w:p>
    <w:p w:rsidR="005A1ADB" w:rsidRDefault="000B6ECF">
      <w:pPr>
        <w:widowControl/>
        <w:spacing w:after="120" w:line="300" w:lineRule="auto"/>
        <w:ind w:firstLineChars="200" w:firstLine="560"/>
        <w:jc w:val="left"/>
        <w:rPr>
          <w:sz w:val="28"/>
          <w:szCs w:val="32"/>
        </w:rPr>
      </w:pPr>
      <w:r>
        <w:rPr>
          <w:rFonts w:hint="eastAsia"/>
          <w:sz w:val="28"/>
          <w:szCs w:val="32"/>
        </w:rPr>
        <w:t>在城乡生活垃圾方面，</w:t>
      </w:r>
      <w:r>
        <w:rPr>
          <w:sz w:val="28"/>
          <w:szCs w:val="32"/>
        </w:rPr>
        <w:t>2020</w:t>
      </w:r>
      <w:r>
        <w:rPr>
          <w:rFonts w:hint="eastAsia"/>
          <w:sz w:val="28"/>
          <w:szCs w:val="32"/>
        </w:rPr>
        <w:t>年长春市市域生活垃圾清运量为</w:t>
      </w:r>
      <w:r>
        <w:rPr>
          <w:sz w:val="28"/>
          <w:szCs w:val="32"/>
        </w:rPr>
        <w:t>243.35</w:t>
      </w:r>
      <w:r>
        <w:rPr>
          <w:rFonts w:hint="eastAsia"/>
          <w:sz w:val="28"/>
          <w:szCs w:val="32"/>
        </w:rPr>
        <w:t>万吨，其中卫生填埋处理量</w:t>
      </w:r>
      <w:r>
        <w:rPr>
          <w:sz w:val="28"/>
          <w:szCs w:val="32"/>
        </w:rPr>
        <w:t>102.01</w:t>
      </w:r>
      <w:r>
        <w:rPr>
          <w:rFonts w:hint="eastAsia"/>
          <w:sz w:val="28"/>
          <w:szCs w:val="32"/>
        </w:rPr>
        <w:t>万吨，焚烧发电处理量</w:t>
      </w:r>
      <w:r>
        <w:rPr>
          <w:sz w:val="28"/>
          <w:szCs w:val="32"/>
        </w:rPr>
        <w:t>138.45</w:t>
      </w:r>
      <w:r>
        <w:rPr>
          <w:rFonts w:hint="eastAsia"/>
          <w:sz w:val="28"/>
          <w:szCs w:val="32"/>
        </w:rPr>
        <w:t>万吨，厌氧发酵处理量（餐厨垃圾）</w:t>
      </w:r>
      <w:r>
        <w:rPr>
          <w:sz w:val="28"/>
          <w:szCs w:val="32"/>
        </w:rPr>
        <w:t>2.89</w:t>
      </w:r>
      <w:r>
        <w:rPr>
          <w:rFonts w:hint="eastAsia"/>
          <w:sz w:val="28"/>
          <w:szCs w:val="32"/>
        </w:rPr>
        <w:t>万吨，生活垃圾无害</w:t>
      </w:r>
      <w:r>
        <w:rPr>
          <w:rFonts w:hint="eastAsia"/>
          <w:sz w:val="28"/>
          <w:szCs w:val="32"/>
        </w:rPr>
        <w:lastRenderedPageBreak/>
        <w:t>化处理率为</w:t>
      </w:r>
      <w:r>
        <w:rPr>
          <w:sz w:val="28"/>
          <w:szCs w:val="32"/>
        </w:rPr>
        <w:t>100%</w:t>
      </w:r>
      <w:r>
        <w:rPr>
          <w:rFonts w:hint="eastAsia"/>
          <w:sz w:val="28"/>
          <w:szCs w:val="32"/>
        </w:rPr>
        <w:t>。其中，长春市市区生活垃圾清运量为</w:t>
      </w:r>
      <w:r>
        <w:rPr>
          <w:sz w:val="28"/>
          <w:szCs w:val="32"/>
        </w:rPr>
        <w:t>171.72</w:t>
      </w:r>
      <w:r>
        <w:rPr>
          <w:rFonts w:hint="eastAsia"/>
          <w:sz w:val="28"/>
          <w:szCs w:val="32"/>
        </w:rPr>
        <w:t>万吨，其中卫生填埋处理量</w:t>
      </w:r>
      <w:r>
        <w:rPr>
          <w:sz w:val="28"/>
          <w:szCs w:val="32"/>
        </w:rPr>
        <w:t xml:space="preserve"> 74.30</w:t>
      </w:r>
      <w:r>
        <w:rPr>
          <w:rFonts w:hint="eastAsia"/>
          <w:sz w:val="28"/>
          <w:szCs w:val="32"/>
        </w:rPr>
        <w:t>万吨，焚烧发电处理量</w:t>
      </w:r>
      <w:r>
        <w:rPr>
          <w:sz w:val="28"/>
          <w:szCs w:val="32"/>
        </w:rPr>
        <w:t>94.53</w:t>
      </w:r>
      <w:r>
        <w:rPr>
          <w:rFonts w:hint="eastAsia"/>
          <w:sz w:val="28"/>
          <w:szCs w:val="32"/>
        </w:rPr>
        <w:t>万吨，厌氧发酵处理量（餐厨垃圾）</w:t>
      </w:r>
      <w:r>
        <w:rPr>
          <w:sz w:val="28"/>
          <w:szCs w:val="32"/>
        </w:rPr>
        <w:t>2.89</w:t>
      </w:r>
      <w:r>
        <w:rPr>
          <w:rFonts w:hint="eastAsia"/>
          <w:sz w:val="28"/>
          <w:szCs w:val="32"/>
        </w:rPr>
        <w:t>万吨，生活垃圾无害化处理率为</w:t>
      </w:r>
      <w:r>
        <w:rPr>
          <w:sz w:val="28"/>
          <w:szCs w:val="32"/>
        </w:rPr>
        <w:t>100%</w:t>
      </w:r>
      <w:r>
        <w:rPr>
          <w:rFonts w:hint="eastAsia"/>
          <w:sz w:val="28"/>
          <w:szCs w:val="32"/>
        </w:rPr>
        <w:t>。在生活垃圾处理设施方面，截止到</w:t>
      </w:r>
      <w:r>
        <w:rPr>
          <w:rFonts w:hint="eastAsia"/>
          <w:sz w:val="28"/>
          <w:szCs w:val="32"/>
        </w:rPr>
        <w:t>2020</w:t>
      </w:r>
      <w:r>
        <w:rPr>
          <w:rFonts w:hint="eastAsia"/>
          <w:sz w:val="28"/>
          <w:szCs w:val="32"/>
        </w:rPr>
        <w:t>年底，长春市共有运行中的生活垃圾处理设施</w:t>
      </w:r>
      <w:r>
        <w:rPr>
          <w:rFonts w:hint="eastAsia"/>
          <w:sz w:val="28"/>
          <w:szCs w:val="32"/>
        </w:rPr>
        <w:t>8</w:t>
      </w:r>
      <w:r>
        <w:rPr>
          <w:rFonts w:hint="eastAsia"/>
          <w:sz w:val="28"/>
          <w:szCs w:val="32"/>
        </w:rPr>
        <w:t>座，包括生活垃圾填埋处理中心</w:t>
      </w:r>
      <w:r>
        <w:rPr>
          <w:rFonts w:hint="eastAsia"/>
          <w:sz w:val="28"/>
          <w:szCs w:val="32"/>
        </w:rPr>
        <w:t>2</w:t>
      </w:r>
      <w:r>
        <w:rPr>
          <w:rFonts w:hint="eastAsia"/>
          <w:sz w:val="28"/>
          <w:szCs w:val="32"/>
        </w:rPr>
        <w:t>座、生活垃圾焚烧发电厂</w:t>
      </w:r>
      <w:r>
        <w:rPr>
          <w:rFonts w:hint="eastAsia"/>
          <w:sz w:val="28"/>
          <w:szCs w:val="32"/>
        </w:rPr>
        <w:t>5</w:t>
      </w:r>
      <w:r>
        <w:rPr>
          <w:rFonts w:hint="eastAsia"/>
          <w:sz w:val="28"/>
          <w:szCs w:val="32"/>
        </w:rPr>
        <w:t>座、餐厨垃圾处理厂</w:t>
      </w:r>
      <w:r>
        <w:rPr>
          <w:rFonts w:hint="eastAsia"/>
          <w:sz w:val="28"/>
          <w:szCs w:val="32"/>
        </w:rPr>
        <w:t>1</w:t>
      </w:r>
      <w:r>
        <w:rPr>
          <w:rFonts w:hint="eastAsia"/>
          <w:sz w:val="28"/>
          <w:szCs w:val="32"/>
        </w:rPr>
        <w:t>座，主要分布于长春市市区、公主岭市、德惠市和榆树市，生活垃圾设计处理总能力为</w:t>
      </w:r>
      <w:r>
        <w:rPr>
          <w:rFonts w:hint="eastAsia"/>
          <w:sz w:val="28"/>
          <w:szCs w:val="32"/>
        </w:rPr>
        <w:t>8000</w:t>
      </w:r>
      <w:r>
        <w:rPr>
          <w:rFonts w:hint="eastAsia"/>
          <w:sz w:val="28"/>
          <w:szCs w:val="32"/>
        </w:rPr>
        <w:t>吨</w:t>
      </w:r>
      <w:r>
        <w:rPr>
          <w:rFonts w:hint="eastAsia"/>
          <w:sz w:val="28"/>
          <w:szCs w:val="32"/>
        </w:rPr>
        <w:t>/</w:t>
      </w:r>
      <w:r>
        <w:rPr>
          <w:rFonts w:hint="eastAsia"/>
          <w:sz w:val="28"/>
          <w:szCs w:val="32"/>
        </w:rPr>
        <w:t>日，其中垃圾填埋处理能力、焚烧处理能力、餐厨垃圾处理能力分别为</w:t>
      </w:r>
      <w:r>
        <w:rPr>
          <w:rFonts w:hint="eastAsia"/>
          <w:sz w:val="28"/>
          <w:szCs w:val="32"/>
        </w:rPr>
        <w:t>2850</w:t>
      </w:r>
      <w:r>
        <w:rPr>
          <w:rFonts w:hint="eastAsia"/>
          <w:sz w:val="28"/>
          <w:szCs w:val="32"/>
        </w:rPr>
        <w:t>吨</w:t>
      </w:r>
      <w:r>
        <w:rPr>
          <w:rFonts w:hint="eastAsia"/>
          <w:sz w:val="28"/>
          <w:szCs w:val="32"/>
        </w:rPr>
        <w:t>/</w:t>
      </w:r>
      <w:r>
        <w:rPr>
          <w:rFonts w:hint="eastAsia"/>
          <w:sz w:val="28"/>
          <w:szCs w:val="32"/>
        </w:rPr>
        <w:t>日、</w:t>
      </w:r>
      <w:r>
        <w:rPr>
          <w:rFonts w:hint="eastAsia"/>
          <w:sz w:val="28"/>
          <w:szCs w:val="32"/>
        </w:rPr>
        <w:t>4950</w:t>
      </w:r>
      <w:r>
        <w:rPr>
          <w:rFonts w:hint="eastAsia"/>
          <w:sz w:val="28"/>
          <w:szCs w:val="32"/>
        </w:rPr>
        <w:t>吨</w:t>
      </w:r>
      <w:r>
        <w:rPr>
          <w:rFonts w:hint="eastAsia"/>
          <w:sz w:val="28"/>
          <w:szCs w:val="32"/>
        </w:rPr>
        <w:t>/</w:t>
      </w:r>
      <w:r>
        <w:rPr>
          <w:rFonts w:hint="eastAsia"/>
          <w:sz w:val="28"/>
          <w:szCs w:val="32"/>
        </w:rPr>
        <w:t>日和</w:t>
      </w:r>
      <w:r>
        <w:rPr>
          <w:rFonts w:hint="eastAsia"/>
          <w:sz w:val="28"/>
          <w:szCs w:val="32"/>
        </w:rPr>
        <w:t>200</w:t>
      </w:r>
      <w:r>
        <w:rPr>
          <w:rFonts w:hint="eastAsia"/>
          <w:sz w:val="28"/>
          <w:szCs w:val="32"/>
        </w:rPr>
        <w:t>吨</w:t>
      </w:r>
      <w:r>
        <w:rPr>
          <w:rFonts w:hint="eastAsia"/>
          <w:sz w:val="28"/>
          <w:szCs w:val="32"/>
        </w:rPr>
        <w:t>/</w:t>
      </w:r>
      <w:r>
        <w:rPr>
          <w:rFonts w:hint="eastAsia"/>
          <w:sz w:val="28"/>
          <w:szCs w:val="32"/>
        </w:rPr>
        <w:t>日。</w:t>
      </w:r>
    </w:p>
    <w:p w:rsidR="005A1ADB" w:rsidRDefault="000B6ECF">
      <w:pPr>
        <w:widowControl/>
        <w:spacing w:after="120" w:line="300" w:lineRule="auto"/>
        <w:ind w:firstLineChars="200" w:firstLine="420"/>
        <w:jc w:val="center"/>
      </w:pPr>
      <w:r>
        <w:rPr>
          <w:noProof/>
        </w:rPr>
        <w:drawing>
          <wp:inline distT="0" distB="0" distL="114300" distR="114300">
            <wp:extent cx="3316605" cy="2138680"/>
            <wp:effectExtent l="4445" t="4445" r="6350" b="1587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1ADB" w:rsidRDefault="000B6ECF">
      <w:pPr>
        <w:pStyle w:val="a4"/>
        <w:widowControl/>
        <w:spacing w:after="120" w:line="300" w:lineRule="auto"/>
        <w:ind w:firstLineChars="200" w:firstLine="400"/>
        <w:jc w:val="center"/>
      </w:pPr>
      <w:r>
        <w:t>图</w:t>
      </w:r>
      <w:r>
        <w:t xml:space="preserve"> </w:t>
      </w:r>
      <w:r w:rsidR="005A1ADB">
        <w:fldChar w:fldCharType="begin"/>
      </w:r>
      <w:r>
        <w:instrText xml:space="preserve"> SEQ </w:instrText>
      </w:r>
      <w:r>
        <w:instrText>图</w:instrText>
      </w:r>
      <w:r>
        <w:instrText xml:space="preserve"> \* ARABIC </w:instrText>
      </w:r>
      <w:r w:rsidR="005A1ADB">
        <w:fldChar w:fldCharType="separate"/>
      </w:r>
      <w:r>
        <w:t>5</w:t>
      </w:r>
      <w:r w:rsidR="005A1ADB">
        <w:fldChar w:fldCharType="end"/>
      </w:r>
      <w:r>
        <w:rPr>
          <w:rFonts w:hint="eastAsia"/>
        </w:rPr>
        <w:tab/>
      </w:r>
      <w:r>
        <w:rPr>
          <w:rFonts w:hint="eastAsia"/>
        </w:rPr>
        <w:tab/>
        <w:t>2020</w:t>
      </w:r>
      <w:r>
        <w:rPr>
          <w:rFonts w:hint="eastAsia"/>
        </w:rPr>
        <w:t>年长春市生活垃圾处置</w:t>
      </w:r>
      <w:r>
        <w:rPr>
          <w:rFonts w:hint="eastAsia"/>
        </w:rPr>
        <w:t>方式构成</w:t>
      </w:r>
    </w:p>
    <w:p w:rsidR="005A1ADB" w:rsidRDefault="000B6ECF">
      <w:pPr>
        <w:widowControl/>
        <w:spacing w:after="120" w:line="300" w:lineRule="auto"/>
        <w:ind w:firstLineChars="200" w:firstLine="560"/>
        <w:jc w:val="left"/>
        <w:rPr>
          <w:sz w:val="28"/>
          <w:szCs w:val="32"/>
        </w:rPr>
      </w:pPr>
      <w:r>
        <w:rPr>
          <w:rFonts w:hint="eastAsia"/>
          <w:sz w:val="28"/>
          <w:szCs w:val="32"/>
        </w:rPr>
        <w:t>在垃圾分类管理方面，长春市陆续制定了《长春市餐厨垃圾管理暂行办法》《长春市生活垃圾分类管理条例》，分别自</w:t>
      </w:r>
      <w:r>
        <w:rPr>
          <w:rFonts w:hint="eastAsia"/>
          <w:sz w:val="28"/>
          <w:szCs w:val="32"/>
        </w:rPr>
        <w:t>2017</w:t>
      </w:r>
      <w:r>
        <w:rPr>
          <w:rFonts w:hint="eastAsia"/>
          <w:sz w:val="28"/>
          <w:szCs w:val="32"/>
        </w:rPr>
        <w:t>年</w:t>
      </w:r>
      <w:r>
        <w:rPr>
          <w:rFonts w:hint="eastAsia"/>
          <w:sz w:val="28"/>
          <w:szCs w:val="32"/>
        </w:rPr>
        <w:t>7</w:t>
      </w:r>
      <w:r>
        <w:rPr>
          <w:rFonts w:hint="eastAsia"/>
          <w:sz w:val="28"/>
          <w:szCs w:val="32"/>
        </w:rPr>
        <w:t>月</w:t>
      </w:r>
      <w:r>
        <w:rPr>
          <w:rFonts w:hint="eastAsia"/>
          <w:sz w:val="28"/>
          <w:szCs w:val="32"/>
        </w:rPr>
        <w:t>15</w:t>
      </w:r>
      <w:r>
        <w:rPr>
          <w:rFonts w:hint="eastAsia"/>
          <w:sz w:val="28"/>
          <w:szCs w:val="32"/>
        </w:rPr>
        <w:t>日、</w:t>
      </w:r>
      <w:r>
        <w:rPr>
          <w:rFonts w:hint="eastAsia"/>
          <w:sz w:val="28"/>
          <w:szCs w:val="32"/>
        </w:rPr>
        <w:t>2019</w:t>
      </w:r>
      <w:r>
        <w:rPr>
          <w:rFonts w:hint="eastAsia"/>
          <w:sz w:val="28"/>
          <w:szCs w:val="32"/>
        </w:rPr>
        <w:t>年</w:t>
      </w:r>
      <w:r>
        <w:rPr>
          <w:rFonts w:hint="eastAsia"/>
          <w:sz w:val="28"/>
          <w:szCs w:val="32"/>
        </w:rPr>
        <w:t>5</w:t>
      </w:r>
      <w:r>
        <w:rPr>
          <w:rFonts w:hint="eastAsia"/>
          <w:sz w:val="28"/>
          <w:szCs w:val="32"/>
        </w:rPr>
        <w:t>月</w:t>
      </w:r>
      <w:r>
        <w:rPr>
          <w:rFonts w:hint="eastAsia"/>
          <w:sz w:val="28"/>
          <w:szCs w:val="32"/>
        </w:rPr>
        <w:t>1</w:t>
      </w:r>
      <w:r>
        <w:rPr>
          <w:rFonts w:hint="eastAsia"/>
          <w:sz w:val="28"/>
          <w:szCs w:val="32"/>
        </w:rPr>
        <w:t>日起施行，生活垃圾处置方式以焚烧为主、填埋为辅，自</w:t>
      </w:r>
      <w:r>
        <w:rPr>
          <w:rFonts w:hint="eastAsia"/>
          <w:sz w:val="28"/>
          <w:szCs w:val="32"/>
        </w:rPr>
        <w:t>2018</w:t>
      </w:r>
      <w:r>
        <w:rPr>
          <w:rFonts w:hint="eastAsia"/>
          <w:sz w:val="28"/>
          <w:szCs w:val="32"/>
        </w:rPr>
        <w:t>年以来新增了厨余垃圾处置。长春市作为全国</w:t>
      </w:r>
      <w:r>
        <w:rPr>
          <w:rFonts w:hint="eastAsia"/>
          <w:sz w:val="28"/>
          <w:szCs w:val="32"/>
        </w:rPr>
        <w:t>46</w:t>
      </w:r>
      <w:r>
        <w:rPr>
          <w:rFonts w:hint="eastAsia"/>
          <w:sz w:val="28"/>
          <w:szCs w:val="32"/>
        </w:rPr>
        <w:t>个先行实施生活垃圾分类的重点城市，截止到</w:t>
      </w:r>
      <w:r>
        <w:rPr>
          <w:sz w:val="28"/>
          <w:szCs w:val="32"/>
        </w:rPr>
        <w:t>2020</w:t>
      </w:r>
      <w:r>
        <w:rPr>
          <w:rFonts w:hint="eastAsia"/>
          <w:sz w:val="28"/>
          <w:szCs w:val="32"/>
        </w:rPr>
        <w:t>年底基本建立了“定时定点投放、垃圾不落地收运、就地就近处置、两网融合收集”等具</w:t>
      </w:r>
      <w:r>
        <w:rPr>
          <w:rFonts w:hint="eastAsia"/>
          <w:sz w:val="28"/>
          <w:szCs w:val="32"/>
        </w:rPr>
        <w:lastRenderedPageBreak/>
        <w:t>有长春特色的生活垃圾分类模式，建成分类示范片区</w:t>
      </w:r>
      <w:r>
        <w:rPr>
          <w:sz w:val="28"/>
          <w:szCs w:val="32"/>
        </w:rPr>
        <w:t>63</w:t>
      </w:r>
      <w:r>
        <w:rPr>
          <w:rFonts w:hint="eastAsia"/>
          <w:sz w:val="28"/>
          <w:szCs w:val="32"/>
        </w:rPr>
        <w:t>个，居民小区和公共机构分类覆盖率</w:t>
      </w:r>
      <w:r>
        <w:rPr>
          <w:sz w:val="28"/>
          <w:szCs w:val="32"/>
        </w:rPr>
        <w:t>100%</w:t>
      </w:r>
      <w:r>
        <w:rPr>
          <w:rFonts w:hint="eastAsia"/>
          <w:sz w:val="28"/>
          <w:szCs w:val="32"/>
        </w:rPr>
        <w:t>，基本实现了生活垃圾分类设施、分类宣传和长</w:t>
      </w:r>
      <w:r>
        <w:rPr>
          <w:rFonts w:hint="eastAsia"/>
          <w:sz w:val="28"/>
          <w:szCs w:val="32"/>
        </w:rPr>
        <w:t>效管理机制的全覆盖，</w:t>
      </w:r>
      <w:r>
        <w:rPr>
          <w:sz w:val="28"/>
          <w:szCs w:val="32"/>
        </w:rPr>
        <w:t>2020</w:t>
      </w:r>
      <w:r>
        <w:rPr>
          <w:rFonts w:hint="eastAsia"/>
          <w:sz w:val="28"/>
          <w:szCs w:val="32"/>
        </w:rPr>
        <w:t>年城区生活垃圾回收利用率为</w:t>
      </w:r>
      <w:r>
        <w:rPr>
          <w:sz w:val="28"/>
          <w:szCs w:val="32"/>
        </w:rPr>
        <w:t>25.2%</w:t>
      </w:r>
      <w:r>
        <w:rPr>
          <w:rFonts w:hint="eastAsia"/>
          <w:sz w:val="28"/>
          <w:szCs w:val="32"/>
        </w:rPr>
        <w:t>。在“两网融合”方面，长春市按照“政府主导、市场运作、统一规划、合理布局、稳步推进”的工作思路，逐步清理四环路以内废品收购站，推广“定点、定时、定车”不落地再生资源回收新模式，借助互联网</w:t>
      </w:r>
      <w:r>
        <w:rPr>
          <w:sz w:val="28"/>
          <w:szCs w:val="32"/>
        </w:rPr>
        <w:t>+</w:t>
      </w:r>
      <w:r>
        <w:rPr>
          <w:rFonts w:hint="eastAsia"/>
          <w:sz w:val="28"/>
          <w:szCs w:val="32"/>
        </w:rPr>
        <w:t>网络回收平台和微信公众号平台，实行网上预约和电话预约，与生活垃圾分类有机结合无缝衔接，实现了与生活垃圾分类投放、收集、运输、处理的“两网融合”，目前，全市已有</w:t>
      </w:r>
      <w:r>
        <w:rPr>
          <w:sz w:val="28"/>
          <w:szCs w:val="32"/>
        </w:rPr>
        <w:t>427</w:t>
      </w:r>
      <w:r>
        <w:rPr>
          <w:rFonts w:hint="eastAsia"/>
          <w:sz w:val="28"/>
          <w:szCs w:val="32"/>
        </w:rPr>
        <w:t>台统一标识的封闭厢式运输车替代过去的废品收购场站，极大地降低了由废品收购站造成的环境污染和邻避效</w:t>
      </w:r>
      <w:r>
        <w:rPr>
          <w:rFonts w:hint="eastAsia"/>
          <w:sz w:val="28"/>
          <w:szCs w:val="32"/>
        </w:rPr>
        <w:t>应。在生活垃圾相关产业发展方面，长春市生活垃圾资源化利用方式主要包括生活垃圾焚烧发电、餐厨垃圾资源化处理、可回收物分拣和大件垃圾拆解分拣等，近年来持续推进长春循环经济产业开发区建设工作，截止到</w:t>
      </w:r>
      <w:r>
        <w:rPr>
          <w:sz w:val="28"/>
          <w:szCs w:val="32"/>
        </w:rPr>
        <w:t>2020</w:t>
      </w:r>
      <w:r>
        <w:rPr>
          <w:rFonts w:hint="eastAsia"/>
          <w:sz w:val="28"/>
          <w:szCs w:val="32"/>
        </w:rPr>
        <w:t>年已经完成了开发区的总体规划设计，取得了省里的正式批复。</w:t>
      </w:r>
    </w:p>
    <w:p w:rsidR="005A1ADB" w:rsidRDefault="000B6ECF">
      <w:pPr>
        <w:widowControl/>
        <w:spacing w:after="120" w:line="300" w:lineRule="auto"/>
        <w:ind w:firstLineChars="200" w:firstLine="560"/>
        <w:jc w:val="left"/>
        <w:rPr>
          <w:sz w:val="28"/>
          <w:szCs w:val="32"/>
        </w:rPr>
      </w:pPr>
      <w:r>
        <w:rPr>
          <w:rFonts w:hint="eastAsia"/>
          <w:sz w:val="28"/>
          <w:szCs w:val="32"/>
        </w:rPr>
        <w:t>在</w:t>
      </w:r>
      <w:r>
        <w:rPr>
          <w:rFonts w:hint="eastAsia"/>
          <w:sz w:val="28"/>
        </w:rPr>
        <w:t>城乡生活垃圾中，长春市邮政管理局主要开展了</w:t>
      </w:r>
      <w:r>
        <w:rPr>
          <w:rFonts w:hint="eastAsia"/>
          <w:sz w:val="28"/>
          <w:szCs w:val="32"/>
        </w:rPr>
        <w:t>快递包装废弃物进行了减量化、绿色化和废弃物回收管理。在包装减量化方面，</w:t>
      </w:r>
      <w:r>
        <w:rPr>
          <w:rFonts w:hint="eastAsia"/>
          <w:sz w:val="28"/>
          <w:szCs w:val="32"/>
        </w:rPr>
        <w:t>2020</w:t>
      </w:r>
      <w:r>
        <w:rPr>
          <w:rFonts w:hint="eastAsia"/>
          <w:sz w:val="28"/>
          <w:szCs w:val="32"/>
        </w:rPr>
        <w:t>年长春市电商件业务量</w:t>
      </w:r>
      <w:r>
        <w:rPr>
          <w:rFonts w:hint="eastAsia"/>
          <w:sz w:val="28"/>
          <w:szCs w:val="32"/>
        </w:rPr>
        <w:t>19539.03</w:t>
      </w:r>
      <w:r>
        <w:rPr>
          <w:rFonts w:hint="eastAsia"/>
          <w:sz w:val="28"/>
          <w:szCs w:val="32"/>
        </w:rPr>
        <w:t>万件，未二次包装的电商件业务量</w:t>
      </w:r>
      <w:r>
        <w:rPr>
          <w:rFonts w:hint="eastAsia"/>
          <w:sz w:val="28"/>
          <w:szCs w:val="32"/>
        </w:rPr>
        <w:t>16160.04</w:t>
      </w:r>
      <w:r>
        <w:rPr>
          <w:rFonts w:hint="eastAsia"/>
          <w:sz w:val="28"/>
          <w:szCs w:val="32"/>
        </w:rPr>
        <w:t>万件，电商快件不再二次包装率达</w:t>
      </w:r>
      <w:r>
        <w:rPr>
          <w:rFonts w:hint="eastAsia"/>
          <w:sz w:val="28"/>
          <w:szCs w:val="32"/>
        </w:rPr>
        <w:t>82.71%</w:t>
      </w:r>
      <w:r>
        <w:rPr>
          <w:rFonts w:hint="eastAsia"/>
          <w:sz w:val="28"/>
          <w:szCs w:val="32"/>
        </w:rPr>
        <w:t>；推广使</w:t>
      </w:r>
      <w:r>
        <w:rPr>
          <w:rFonts w:hint="eastAsia"/>
          <w:sz w:val="28"/>
          <w:szCs w:val="32"/>
        </w:rPr>
        <w:t>用电子面单，全行业电子面单使用基本实现全覆盖，一连电子运单使用率达到</w:t>
      </w:r>
      <w:r>
        <w:rPr>
          <w:rFonts w:hint="eastAsia"/>
          <w:sz w:val="28"/>
          <w:szCs w:val="32"/>
        </w:rPr>
        <w:t>96.02%</w:t>
      </w:r>
      <w:r>
        <w:rPr>
          <w:rFonts w:hint="eastAsia"/>
          <w:sz w:val="28"/>
          <w:szCs w:val="32"/>
        </w:rPr>
        <w:t>。在包装绿色化方面，快递企业使用包装总用量为</w:t>
      </w:r>
      <w:r>
        <w:rPr>
          <w:rFonts w:hint="eastAsia"/>
          <w:sz w:val="28"/>
          <w:szCs w:val="32"/>
        </w:rPr>
        <w:t>25493.4</w:t>
      </w:r>
      <w:r>
        <w:rPr>
          <w:rFonts w:hint="eastAsia"/>
          <w:sz w:val="28"/>
          <w:szCs w:val="32"/>
        </w:rPr>
        <w:t>万个，寄递企业使用自有包装</w:t>
      </w:r>
      <w:r>
        <w:rPr>
          <w:rFonts w:hint="eastAsia"/>
          <w:sz w:val="28"/>
          <w:szCs w:val="32"/>
        </w:rPr>
        <w:t>17258.14</w:t>
      </w:r>
      <w:r>
        <w:rPr>
          <w:rFonts w:hint="eastAsia"/>
          <w:sz w:val="28"/>
          <w:szCs w:val="32"/>
        </w:rPr>
        <w:t>万个，按标准统一采购的包</w:t>
      </w:r>
      <w:r>
        <w:rPr>
          <w:rFonts w:hint="eastAsia"/>
          <w:sz w:val="28"/>
          <w:szCs w:val="32"/>
        </w:rPr>
        <w:lastRenderedPageBreak/>
        <w:t>装数量为</w:t>
      </w:r>
      <w:r>
        <w:rPr>
          <w:rFonts w:hint="eastAsia"/>
          <w:sz w:val="28"/>
          <w:szCs w:val="32"/>
        </w:rPr>
        <w:t>12947.74</w:t>
      </w:r>
      <w:r>
        <w:rPr>
          <w:rFonts w:hint="eastAsia"/>
          <w:sz w:val="28"/>
          <w:szCs w:val="32"/>
        </w:rPr>
        <w:t>万个，符合标准的包装材料应用比例为</w:t>
      </w:r>
      <w:r>
        <w:rPr>
          <w:rFonts w:hint="eastAsia"/>
          <w:sz w:val="28"/>
          <w:szCs w:val="32"/>
        </w:rPr>
        <w:t>75.02%</w:t>
      </w:r>
      <w:r>
        <w:rPr>
          <w:rFonts w:hint="eastAsia"/>
          <w:sz w:val="28"/>
          <w:szCs w:val="32"/>
        </w:rPr>
        <w:t>；全市胶带使用量为</w:t>
      </w:r>
      <w:r>
        <w:rPr>
          <w:rFonts w:hint="eastAsia"/>
          <w:sz w:val="28"/>
          <w:szCs w:val="32"/>
        </w:rPr>
        <w:t>27985.20</w:t>
      </w:r>
      <w:r>
        <w:rPr>
          <w:rFonts w:hint="eastAsia"/>
          <w:sz w:val="28"/>
          <w:szCs w:val="32"/>
        </w:rPr>
        <w:t>万米，其中生物降解胶带使用量为</w:t>
      </w:r>
      <w:r>
        <w:rPr>
          <w:rFonts w:hint="eastAsia"/>
          <w:sz w:val="28"/>
          <w:szCs w:val="32"/>
        </w:rPr>
        <w:t>14781.08</w:t>
      </w:r>
      <w:r>
        <w:rPr>
          <w:rFonts w:hint="eastAsia"/>
          <w:sz w:val="28"/>
          <w:szCs w:val="32"/>
        </w:rPr>
        <w:t>万米，生物降解胶带使用率为</w:t>
      </w:r>
      <w:r>
        <w:rPr>
          <w:rFonts w:hint="eastAsia"/>
          <w:sz w:val="28"/>
          <w:szCs w:val="32"/>
        </w:rPr>
        <w:t>52.82%</w:t>
      </w:r>
      <w:r>
        <w:rPr>
          <w:rFonts w:hint="eastAsia"/>
          <w:sz w:val="28"/>
          <w:szCs w:val="32"/>
        </w:rPr>
        <w:t>；</w:t>
      </w:r>
      <w:r>
        <w:rPr>
          <w:rFonts w:hint="eastAsia"/>
          <w:sz w:val="28"/>
          <w:szCs w:val="32"/>
        </w:rPr>
        <w:t>45mm</w:t>
      </w:r>
      <w:r>
        <w:rPr>
          <w:rFonts w:hint="eastAsia"/>
          <w:sz w:val="28"/>
          <w:szCs w:val="32"/>
        </w:rPr>
        <w:t>及以下瘦身胶带用量为</w:t>
      </w:r>
      <w:r>
        <w:rPr>
          <w:rFonts w:hint="eastAsia"/>
          <w:sz w:val="28"/>
          <w:szCs w:val="32"/>
        </w:rPr>
        <w:t>27231.94</w:t>
      </w:r>
      <w:r>
        <w:rPr>
          <w:rFonts w:hint="eastAsia"/>
          <w:sz w:val="28"/>
          <w:szCs w:val="32"/>
        </w:rPr>
        <w:t>万米，“瘦身胶带”封装比例达</w:t>
      </w:r>
      <w:r>
        <w:rPr>
          <w:rFonts w:hint="eastAsia"/>
          <w:sz w:val="28"/>
          <w:szCs w:val="32"/>
        </w:rPr>
        <w:t>97.31%</w:t>
      </w:r>
      <w:r>
        <w:rPr>
          <w:rFonts w:hint="eastAsia"/>
          <w:sz w:val="28"/>
          <w:szCs w:val="32"/>
        </w:rPr>
        <w:t>；中转袋使用总量为</w:t>
      </w:r>
      <w:r>
        <w:rPr>
          <w:rFonts w:hint="eastAsia"/>
          <w:sz w:val="28"/>
          <w:szCs w:val="32"/>
        </w:rPr>
        <w:t>4571.9</w:t>
      </w:r>
      <w:r>
        <w:rPr>
          <w:rFonts w:hint="eastAsia"/>
          <w:sz w:val="28"/>
          <w:szCs w:val="32"/>
        </w:rPr>
        <w:t>万个</w:t>
      </w:r>
      <w:r>
        <w:rPr>
          <w:rFonts w:hint="eastAsia"/>
          <w:sz w:val="28"/>
          <w:szCs w:val="32"/>
        </w:rPr>
        <w:t>，其中可循环中转袋使用总量</w:t>
      </w:r>
      <w:r>
        <w:rPr>
          <w:rFonts w:hint="eastAsia"/>
          <w:sz w:val="28"/>
          <w:szCs w:val="32"/>
        </w:rPr>
        <w:t>4294.18</w:t>
      </w:r>
      <w:r>
        <w:rPr>
          <w:rFonts w:hint="eastAsia"/>
          <w:sz w:val="28"/>
          <w:szCs w:val="32"/>
        </w:rPr>
        <w:t>万个，可循环中转袋使用率为</w:t>
      </w:r>
      <w:r>
        <w:rPr>
          <w:rFonts w:hint="eastAsia"/>
          <w:sz w:val="28"/>
          <w:szCs w:val="32"/>
        </w:rPr>
        <w:t>93.94%</w:t>
      </w:r>
      <w:r>
        <w:rPr>
          <w:rFonts w:hint="eastAsia"/>
          <w:sz w:val="28"/>
          <w:szCs w:val="32"/>
        </w:rPr>
        <w:t>。在快递包装废弃物回收方面，</w:t>
      </w:r>
      <w:r>
        <w:rPr>
          <w:rFonts w:hint="eastAsia"/>
          <w:sz w:val="28"/>
          <w:szCs w:val="32"/>
        </w:rPr>
        <w:t>2020</w:t>
      </w:r>
      <w:r>
        <w:rPr>
          <w:rFonts w:hint="eastAsia"/>
          <w:sz w:val="28"/>
          <w:szCs w:val="32"/>
        </w:rPr>
        <w:t>年长春市新增符合国家标准的包装废弃物回收装置</w:t>
      </w:r>
      <w:r>
        <w:rPr>
          <w:rFonts w:hint="eastAsia"/>
          <w:sz w:val="28"/>
          <w:szCs w:val="32"/>
        </w:rPr>
        <w:t>328</w:t>
      </w:r>
      <w:r>
        <w:rPr>
          <w:rFonts w:hint="eastAsia"/>
          <w:sz w:val="28"/>
          <w:szCs w:val="32"/>
        </w:rPr>
        <w:t>个，全市共设置包装废弃物回收装置</w:t>
      </w:r>
      <w:r>
        <w:rPr>
          <w:rFonts w:hint="eastAsia"/>
          <w:sz w:val="28"/>
          <w:szCs w:val="32"/>
        </w:rPr>
        <w:t>704</w:t>
      </w:r>
      <w:r>
        <w:rPr>
          <w:rFonts w:hint="eastAsia"/>
          <w:sz w:val="28"/>
          <w:szCs w:val="32"/>
        </w:rPr>
        <w:t>个。在快递包装废弃物管理方面，</w:t>
      </w:r>
      <w:r>
        <w:rPr>
          <w:rFonts w:hint="eastAsia"/>
          <w:sz w:val="28"/>
          <w:szCs w:val="32"/>
        </w:rPr>
        <w:t>2020</w:t>
      </w:r>
      <w:r>
        <w:rPr>
          <w:rFonts w:hint="eastAsia"/>
          <w:sz w:val="28"/>
          <w:szCs w:val="32"/>
        </w:rPr>
        <w:t>年长春市印发实施了《</w:t>
      </w:r>
      <w:r>
        <w:rPr>
          <w:rFonts w:hint="eastAsia"/>
          <w:sz w:val="28"/>
          <w:szCs w:val="32"/>
        </w:rPr>
        <w:t>2020</w:t>
      </w:r>
      <w:r>
        <w:rPr>
          <w:rFonts w:hint="eastAsia"/>
          <w:sz w:val="28"/>
          <w:szCs w:val="32"/>
        </w:rPr>
        <w:t>年长春市行业生态环境保护实施方案》《长春市邮件快件过度包装和随意包装专项整治方案》等文件，成立了邮政业绿色发展工作小组，开展了绿色网点、绿色分拨中心建设，开展黑色包装袋等特定物质超标包装专项整治以及邮政快递网点“</w:t>
      </w:r>
      <w:r>
        <w:rPr>
          <w:rFonts w:hint="eastAsia"/>
          <w:sz w:val="28"/>
          <w:szCs w:val="32"/>
        </w:rPr>
        <w:t>2020</w:t>
      </w:r>
      <w:r>
        <w:rPr>
          <w:rFonts w:hint="eastAsia"/>
          <w:sz w:val="28"/>
          <w:szCs w:val="32"/>
        </w:rPr>
        <w:t>年塑料污染治理联合专项行</w:t>
      </w:r>
      <w:r>
        <w:rPr>
          <w:rFonts w:hint="eastAsia"/>
          <w:sz w:val="28"/>
          <w:szCs w:val="32"/>
        </w:rPr>
        <w:t>动”，推进“</w:t>
      </w:r>
      <w:r>
        <w:rPr>
          <w:rFonts w:hint="eastAsia"/>
          <w:sz w:val="28"/>
          <w:szCs w:val="32"/>
        </w:rPr>
        <w:t>9571</w:t>
      </w:r>
      <w:r>
        <w:rPr>
          <w:rFonts w:hint="eastAsia"/>
          <w:sz w:val="28"/>
          <w:szCs w:val="32"/>
        </w:rPr>
        <w:t>”“</w:t>
      </w:r>
      <w:r>
        <w:rPr>
          <w:rFonts w:hint="eastAsia"/>
          <w:sz w:val="28"/>
          <w:szCs w:val="32"/>
        </w:rPr>
        <w:t>9792</w:t>
      </w:r>
      <w:r>
        <w:rPr>
          <w:rFonts w:hint="eastAsia"/>
          <w:sz w:val="28"/>
          <w:szCs w:val="32"/>
        </w:rPr>
        <w:t>”“</w:t>
      </w:r>
      <w:r>
        <w:rPr>
          <w:rFonts w:hint="eastAsia"/>
          <w:sz w:val="28"/>
          <w:szCs w:val="32"/>
        </w:rPr>
        <w:t>2582</w:t>
      </w:r>
      <w:r>
        <w:rPr>
          <w:rFonts w:hint="eastAsia"/>
          <w:sz w:val="28"/>
          <w:szCs w:val="32"/>
        </w:rPr>
        <w:t>”工程有效落实，推动包装减量化、绿色化，有效推进邮政业绿色发展。</w:t>
      </w:r>
    </w:p>
    <w:p w:rsidR="005A1ADB" w:rsidRDefault="000B6ECF">
      <w:pPr>
        <w:widowControl/>
        <w:spacing w:after="120" w:line="300" w:lineRule="auto"/>
        <w:ind w:firstLineChars="200" w:firstLine="560"/>
        <w:jc w:val="left"/>
        <w:rPr>
          <w:sz w:val="28"/>
        </w:rPr>
      </w:pPr>
      <w:r>
        <w:rPr>
          <w:rFonts w:hint="eastAsia"/>
          <w:sz w:val="28"/>
        </w:rPr>
        <w:t>在再生资源方面，</w:t>
      </w:r>
      <w:r>
        <w:rPr>
          <w:rFonts w:hint="eastAsia"/>
          <w:sz w:val="28"/>
        </w:rPr>
        <w:t>2020</w:t>
      </w:r>
      <w:r>
        <w:rPr>
          <w:rFonts w:hint="eastAsia"/>
          <w:sz w:val="28"/>
        </w:rPr>
        <w:t>年长春市共回收再生资源</w:t>
      </w:r>
      <w:r>
        <w:rPr>
          <w:rFonts w:hint="eastAsia"/>
          <w:sz w:val="28"/>
        </w:rPr>
        <w:t>767.56</w:t>
      </w:r>
      <w:r>
        <w:rPr>
          <w:rFonts w:hint="eastAsia"/>
          <w:sz w:val="28"/>
        </w:rPr>
        <w:t>万吨，包括</w:t>
      </w:r>
      <w:r>
        <w:rPr>
          <w:rFonts w:hint="eastAsia"/>
          <w:sz w:val="28"/>
        </w:rPr>
        <w:t>9</w:t>
      </w:r>
      <w:r>
        <w:rPr>
          <w:rFonts w:hint="eastAsia"/>
          <w:sz w:val="28"/>
        </w:rPr>
        <w:t>个类别，即</w:t>
      </w:r>
      <w:r>
        <w:rPr>
          <w:rFonts w:hint="eastAsia"/>
          <w:sz w:val="28"/>
          <w:szCs w:val="28"/>
        </w:rPr>
        <w:t>废钢铁、</w:t>
      </w:r>
      <w:r>
        <w:rPr>
          <w:rFonts w:hint="eastAsia"/>
          <w:sz w:val="28"/>
        </w:rPr>
        <w:t>废纸、</w:t>
      </w:r>
      <w:r>
        <w:rPr>
          <w:rFonts w:hint="eastAsia"/>
          <w:sz w:val="28"/>
          <w:szCs w:val="28"/>
        </w:rPr>
        <w:t>废塑料、废玻璃、废弃电器电子产品、废橡胶（轮胎）、废金属、废旧纺织物和可回收一次性输液瓶（袋）。</w:t>
      </w:r>
      <w:r>
        <w:rPr>
          <w:rFonts w:hint="eastAsia"/>
          <w:sz w:val="28"/>
        </w:rPr>
        <w:t>其中，</w:t>
      </w:r>
      <w:r>
        <w:rPr>
          <w:rFonts w:hint="eastAsia"/>
          <w:sz w:val="28"/>
          <w:szCs w:val="28"/>
        </w:rPr>
        <w:t>回收量最多的类型为废钢铁（</w:t>
      </w:r>
      <w:r>
        <w:rPr>
          <w:rFonts w:hint="eastAsia"/>
          <w:sz w:val="28"/>
          <w:szCs w:val="28"/>
        </w:rPr>
        <w:t>52.83%</w:t>
      </w:r>
      <w:r>
        <w:rPr>
          <w:rFonts w:hint="eastAsia"/>
          <w:sz w:val="28"/>
          <w:szCs w:val="28"/>
        </w:rPr>
        <w:t>）、</w:t>
      </w:r>
      <w:r>
        <w:rPr>
          <w:rFonts w:hint="eastAsia"/>
          <w:sz w:val="28"/>
        </w:rPr>
        <w:t>废纸（</w:t>
      </w:r>
      <w:r>
        <w:rPr>
          <w:rFonts w:hint="eastAsia"/>
          <w:sz w:val="28"/>
        </w:rPr>
        <w:t>21.03%</w:t>
      </w:r>
      <w:r>
        <w:rPr>
          <w:rFonts w:hint="eastAsia"/>
          <w:sz w:val="28"/>
        </w:rPr>
        <w:t>）</w:t>
      </w:r>
      <w:r>
        <w:rPr>
          <w:rFonts w:hint="eastAsia"/>
          <w:sz w:val="28"/>
          <w:szCs w:val="28"/>
        </w:rPr>
        <w:t>和废塑料（</w:t>
      </w:r>
      <w:r>
        <w:rPr>
          <w:rFonts w:hint="eastAsia"/>
          <w:sz w:val="28"/>
          <w:szCs w:val="28"/>
        </w:rPr>
        <w:t>16.42%</w:t>
      </w:r>
      <w:r>
        <w:rPr>
          <w:rFonts w:hint="eastAsia"/>
          <w:sz w:val="28"/>
          <w:szCs w:val="28"/>
        </w:rPr>
        <w:t>），三者合计占到</w:t>
      </w:r>
      <w:r>
        <w:rPr>
          <w:rFonts w:hint="eastAsia"/>
          <w:sz w:val="28"/>
        </w:rPr>
        <w:t>再生资源总</w:t>
      </w:r>
      <w:r>
        <w:rPr>
          <w:rFonts w:hint="eastAsia"/>
          <w:sz w:val="28"/>
          <w:szCs w:val="28"/>
        </w:rPr>
        <w:t>回收量的</w:t>
      </w:r>
      <w:r>
        <w:rPr>
          <w:rFonts w:hint="eastAsia"/>
          <w:sz w:val="28"/>
          <w:szCs w:val="28"/>
        </w:rPr>
        <w:t>90.28%</w:t>
      </w:r>
      <w:r>
        <w:rPr>
          <w:rFonts w:hint="eastAsia"/>
          <w:sz w:val="28"/>
          <w:szCs w:val="28"/>
        </w:rPr>
        <w:t>。在</w:t>
      </w:r>
      <w:r>
        <w:rPr>
          <w:rFonts w:hint="eastAsia"/>
          <w:sz w:val="28"/>
        </w:rPr>
        <w:t>再生资源</w:t>
      </w:r>
      <w:r>
        <w:rPr>
          <w:rFonts w:hint="eastAsia"/>
          <w:sz w:val="28"/>
          <w:szCs w:val="28"/>
        </w:rPr>
        <w:t>管</w:t>
      </w:r>
      <w:r>
        <w:rPr>
          <w:rFonts w:hint="eastAsia"/>
          <w:sz w:val="28"/>
        </w:rPr>
        <w:t>理方面，</w:t>
      </w:r>
      <w:r>
        <w:rPr>
          <w:rFonts w:hint="eastAsia"/>
          <w:sz w:val="28"/>
          <w:szCs w:val="32"/>
        </w:rPr>
        <w:t>长春市制定了《长春市再生资源回收利用管理办法》，自</w:t>
      </w:r>
      <w:r>
        <w:rPr>
          <w:rFonts w:hint="eastAsia"/>
          <w:sz w:val="28"/>
          <w:szCs w:val="32"/>
        </w:rPr>
        <w:t>20</w:t>
      </w:r>
      <w:r>
        <w:rPr>
          <w:rFonts w:hint="eastAsia"/>
          <w:sz w:val="28"/>
          <w:szCs w:val="32"/>
        </w:rPr>
        <w:t>21</w:t>
      </w:r>
      <w:r>
        <w:rPr>
          <w:rFonts w:hint="eastAsia"/>
          <w:sz w:val="28"/>
          <w:szCs w:val="32"/>
        </w:rPr>
        <w:t>年</w:t>
      </w:r>
      <w:r>
        <w:rPr>
          <w:rFonts w:hint="eastAsia"/>
          <w:sz w:val="28"/>
          <w:szCs w:val="32"/>
        </w:rPr>
        <w:t>5</w:t>
      </w:r>
      <w:r>
        <w:rPr>
          <w:rFonts w:hint="eastAsia"/>
          <w:sz w:val="28"/>
          <w:szCs w:val="32"/>
        </w:rPr>
        <w:t>月</w:t>
      </w:r>
      <w:r>
        <w:rPr>
          <w:rFonts w:hint="eastAsia"/>
          <w:sz w:val="28"/>
          <w:szCs w:val="32"/>
        </w:rPr>
        <w:t>1</w:t>
      </w:r>
      <w:r>
        <w:rPr>
          <w:rFonts w:hint="eastAsia"/>
          <w:sz w:val="28"/>
          <w:szCs w:val="32"/>
        </w:rPr>
        <w:t>日起施行，对市域从事再生资源回收利用经营活动及其管理进行了规定</w:t>
      </w:r>
      <w:r>
        <w:rPr>
          <w:rFonts w:hint="eastAsia"/>
          <w:sz w:val="28"/>
        </w:rPr>
        <w:t>。在再生资源产业发展方面，目前长春市无再生</w:t>
      </w:r>
      <w:r>
        <w:rPr>
          <w:rFonts w:hint="eastAsia"/>
          <w:sz w:val="28"/>
        </w:rPr>
        <w:lastRenderedPageBreak/>
        <w:t>资源利用企业。</w:t>
      </w:r>
      <w:r>
        <w:rPr>
          <w:rFonts w:hint="eastAsia"/>
          <w:sz w:val="28"/>
        </w:rPr>
        <w:t>2020</w:t>
      </w:r>
      <w:r>
        <w:rPr>
          <w:rFonts w:hint="eastAsia"/>
          <w:sz w:val="28"/>
        </w:rPr>
        <w:t>年长春市加快建设循环经济产业园，项目建成后不仅将填补长春地区没有集中废品回收分拣深加工园区的空白，还将成为东北地区最大的集回收、物流、拆解、再制造及交易于一体的循环经济产业园区。</w:t>
      </w:r>
    </w:p>
    <w:p w:rsidR="005A1ADB" w:rsidRDefault="000B6ECF">
      <w:pPr>
        <w:widowControl/>
        <w:spacing w:after="120" w:line="300" w:lineRule="auto"/>
        <w:ind w:firstLineChars="200" w:firstLine="420"/>
        <w:jc w:val="center"/>
      </w:pPr>
      <w:r>
        <w:rPr>
          <w:noProof/>
        </w:rPr>
        <w:drawing>
          <wp:inline distT="0" distB="0" distL="114300" distR="114300">
            <wp:extent cx="3715385" cy="2356485"/>
            <wp:effectExtent l="5080" t="5080" r="13335" b="1333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1ADB" w:rsidRDefault="000B6ECF">
      <w:pPr>
        <w:pStyle w:val="a4"/>
        <w:widowControl/>
        <w:spacing w:after="120" w:line="300" w:lineRule="auto"/>
        <w:ind w:firstLineChars="200" w:firstLine="400"/>
        <w:jc w:val="center"/>
      </w:pPr>
      <w:r>
        <w:t>图</w:t>
      </w:r>
      <w:r>
        <w:t xml:space="preserve"> </w:t>
      </w:r>
      <w:r w:rsidR="005A1ADB">
        <w:fldChar w:fldCharType="begin"/>
      </w:r>
      <w:r>
        <w:instrText xml:space="preserve"> SEQ </w:instrText>
      </w:r>
      <w:r>
        <w:instrText>图</w:instrText>
      </w:r>
      <w:r>
        <w:instrText xml:space="preserve"> \* ARABIC </w:instrText>
      </w:r>
      <w:r w:rsidR="005A1ADB">
        <w:fldChar w:fldCharType="separate"/>
      </w:r>
      <w:r>
        <w:t>6</w:t>
      </w:r>
      <w:r w:rsidR="005A1ADB">
        <w:fldChar w:fldCharType="end"/>
      </w:r>
      <w:r>
        <w:rPr>
          <w:rFonts w:hint="eastAsia"/>
        </w:rPr>
        <w:tab/>
      </w:r>
      <w:r>
        <w:rPr>
          <w:rFonts w:hint="eastAsia"/>
        </w:rPr>
        <w:tab/>
        <w:t>2020</w:t>
      </w:r>
      <w:r>
        <w:rPr>
          <w:rFonts w:hint="eastAsia"/>
        </w:rPr>
        <w:t>年长春市再生资源回收量构成</w:t>
      </w:r>
    </w:p>
    <w:p w:rsidR="005A1ADB" w:rsidRDefault="000B6ECF">
      <w:pPr>
        <w:widowControl/>
        <w:spacing w:after="120" w:line="300" w:lineRule="auto"/>
        <w:ind w:firstLine="420"/>
        <w:jc w:val="left"/>
        <w:rPr>
          <w:sz w:val="28"/>
        </w:rPr>
      </w:pPr>
      <w:r>
        <w:rPr>
          <w:rFonts w:hint="eastAsia"/>
          <w:sz w:val="28"/>
        </w:rPr>
        <w:t>在城镇污水污泥方面，</w:t>
      </w:r>
      <w:r>
        <w:rPr>
          <w:rFonts w:hint="eastAsia"/>
          <w:sz w:val="28"/>
        </w:rPr>
        <w:t>2020</w:t>
      </w:r>
      <w:r>
        <w:rPr>
          <w:rFonts w:hint="eastAsia"/>
          <w:sz w:val="28"/>
        </w:rPr>
        <w:t>年长春市城镇污水处理厂产生的污泥量为</w:t>
      </w:r>
      <w:r>
        <w:rPr>
          <w:rFonts w:hint="eastAsia"/>
          <w:sz w:val="28"/>
        </w:rPr>
        <w:t>50.32</w:t>
      </w:r>
      <w:r>
        <w:rPr>
          <w:rFonts w:hint="eastAsia"/>
          <w:sz w:val="28"/>
        </w:rPr>
        <w:t>万吨，污泥含水量约为</w:t>
      </w:r>
      <w:r>
        <w:rPr>
          <w:rFonts w:hint="eastAsia"/>
          <w:sz w:val="28"/>
        </w:rPr>
        <w:t>80%</w:t>
      </w:r>
      <w:r>
        <w:rPr>
          <w:rFonts w:hint="eastAsia"/>
          <w:sz w:val="28"/>
        </w:rPr>
        <w:t>左右</w:t>
      </w:r>
      <w:r>
        <w:rPr>
          <w:rFonts w:hint="eastAsia"/>
          <w:sz w:val="28"/>
        </w:rPr>
        <w:t>，污泥无害化处置率为</w:t>
      </w:r>
      <w:r>
        <w:rPr>
          <w:rFonts w:hint="eastAsia"/>
          <w:sz w:val="28"/>
        </w:rPr>
        <w:t>100%</w:t>
      </w:r>
      <w:r>
        <w:rPr>
          <w:rFonts w:hint="eastAsia"/>
          <w:sz w:val="28"/>
        </w:rPr>
        <w:t>。污泥处置去向主要为土地利用、焚烧、填埋及做菌种，其中，土地利用占比最大，占</w:t>
      </w:r>
      <w:r>
        <w:rPr>
          <w:rFonts w:hint="eastAsia"/>
          <w:sz w:val="28"/>
        </w:rPr>
        <w:t>87.44%</w:t>
      </w:r>
      <w:r>
        <w:rPr>
          <w:rFonts w:hint="eastAsia"/>
          <w:sz w:val="28"/>
        </w:rPr>
        <w:t>，涉及</w:t>
      </w:r>
      <w:r>
        <w:rPr>
          <w:rFonts w:hint="eastAsia"/>
          <w:sz w:val="28"/>
        </w:rPr>
        <w:t>8</w:t>
      </w:r>
      <w:r>
        <w:rPr>
          <w:rFonts w:hint="eastAsia"/>
          <w:sz w:val="28"/>
        </w:rPr>
        <w:t>家污泥处置单位；焚烧、填埋和送至其他污水处理厂做菌种的占比分别为</w:t>
      </w:r>
      <w:r>
        <w:rPr>
          <w:rFonts w:hint="eastAsia"/>
          <w:sz w:val="28"/>
        </w:rPr>
        <w:t>6.92%</w:t>
      </w:r>
      <w:r>
        <w:rPr>
          <w:rFonts w:hint="eastAsia"/>
          <w:sz w:val="28"/>
        </w:rPr>
        <w:t>、</w:t>
      </w:r>
      <w:r>
        <w:rPr>
          <w:rFonts w:hint="eastAsia"/>
          <w:sz w:val="28"/>
        </w:rPr>
        <w:t>5.54%</w:t>
      </w:r>
      <w:r>
        <w:rPr>
          <w:rFonts w:hint="eastAsia"/>
          <w:sz w:val="28"/>
        </w:rPr>
        <w:t>和</w:t>
      </w:r>
      <w:r>
        <w:rPr>
          <w:rFonts w:hint="eastAsia"/>
          <w:sz w:val="28"/>
        </w:rPr>
        <w:t>0.10%</w:t>
      </w:r>
      <w:r>
        <w:rPr>
          <w:rFonts w:hint="eastAsia"/>
          <w:sz w:val="28"/>
        </w:rPr>
        <w:t>。</w:t>
      </w:r>
      <w:r>
        <w:rPr>
          <w:rFonts w:hint="eastAsia"/>
          <w:sz w:val="28"/>
        </w:rPr>
        <w:t>2020</w:t>
      </w:r>
      <w:r>
        <w:rPr>
          <w:rFonts w:hint="eastAsia"/>
          <w:sz w:val="28"/>
        </w:rPr>
        <w:t>年全市污泥去向单位共计</w:t>
      </w:r>
      <w:r>
        <w:rPr>
          <w:rFonts w:hint="eastAsia"/>
          <w:sz w:val="28"/>
        </w:rPr>
        <w:t>18</w:t>
      </w:r>
      <w:r>
        <w:rPr>
          <w:rFonts w:hint="eastAsia"/>
          <w:sz w:val="28"/>
        </w:rPr>
        <w:t>家，其中，污泥处置单位共</w:t>
      </w:r>
      <w:r>
        <w:rPr>
          <w:rFonts w:hint="eastAsia"/>
          <w:sz w:val="28"/>
        </w:rPr>
        <w:t>13</w:t>
      </w:r>
      <w:r>
        <w:rPr>
          <w:rFonts w:hint="eastAsia"/>
          <w:sz w:val="28"/>
        </w:rPr>
        <w:t>家，包括土地利用</w:t>
      </w:r>
      <w:r>
        <w:rPr>
          <w:rFonts w:hint="eastAsia"/>
          <w:sz w:val="28"/>
        </w:rPr>
        <w:t>8</w:t>
      </w:r>
      <w:r>
        <w:rPr>
          <w:rFonts w:hint="eastAsia"/>
          <w:sz w:val="28"/>
        </w:rPr>
        <w:t>家、焚烧</w:t>
      </w:r>
      <w:r>
        <w:rPr>
          <w:rFonts w:hint="eastAsia"/>
          <w:sz w:val="28"/>
        </w:rPr>
        <w:t>2</w:t>
      </w:r>
      <w:r>
        <w:rPr>
          <w:rFonts w:hint="eastAsia"/>
          <w:sz w:val="28"/>
        </w:rPr>
        <w:t>家、填埋</w:t>
      </w:r>
      <w:r>
        <w:rPr>
          <w:rFonts w:hint="eastAsia"/>
          <w:sz w:val="28"/>
        </w:rPr>
        <w:t>3</w:t>
      </w:r>
      <w:r>
        <w:rPr>
          <w:rFonts w:hint="eastAsia"/>
          <w:sz w:val="28"/>
        </w:rPr>
        <w:t>家，接收其他污水处理厂的污泥做菌种的污水处理厂</w:t>
      </w:r>
      <w:r>
        <w:rPr>
          <w:rFonts w:hint="eastAsia"/>
          <w:sz w:val="28"/>
        </w:rPr>
        <w:t>5</w:t>
      </w:r>
      <w:r>
        <w:rPr>
          <w:rFonts w:hint="eastAsia"/>
          <w:sz w:val="28"/>
        </w:rPr>
        <w:t>个。在污泥管理方面，</w:t>
      </w:r>
      <w:r>
        <w:rPr>
          <w:rFonts w:hint="eastAsia"/>
          <w:sz w:val="28"/>
        </w:rPr>
        <w:t>2019</w:t>
      </w:r>
      <w:r>
        <w:rPr>
          <w:rFonts w:hint="eastAsia"/>
          <w:sz w:val="28"/>
        </w:rPr>
        <w:t>年长春市修订了《长春市城市排水与污水处理管理办法》，自</w:t>
      </w:r>
      <w:r>
        <w:rPr>
          <w:rFonts w:hint="eastAsia"/>
          <w:sz w:val="28"/>
        </w:rPr>
        <w:t>2020</w:t>
      </w:r>
      <w:r>
        <w:rPr>
          <w:rFonts w:hint="eastAsia"/>
          <w:sz w:val="28"/>
        </w:rPr>
        <w:t>年</w:t>
      </w:r>
      <w:r>
        <w:rPr>
          <w:rFonts w:hint="eastAsia"/>
          <w:sz w:val="28"/>
        </w:rPr>
        <w:t>2</w:t>
      </w:r>
      <w:r>
        <w:rPr>
          <w:rFonts w:hint="eastAsia"/>
          <w:sz w:val="28"/>
        </w:rPr>
        <w:t>月</w:t>
      </w:r>
      <w:r>
        <w:rPr>
          <w:rFonts w:hint="eastAsia"/>
          <w:sz w:val="28"/>
        </w:rPr>
        <w:t>1</w:t>
      </w:r>
      <w:r>
        <w:rPr>
          <w:rFonts w:hint="eastAsia"/>
          <w:sz w:val="28"/>
        </w:rPr>
        <w:t>日起施行；</w:t>
      </w:r>
      <w:r>
        <w:rPr>
          <w:rFonts w:hint="eastAsia"/>
          <w:sz w:val="28"/>
        </w:rPr>
        <w:t>2021</w:t>
      </w:r>
      <w:r>
        <w:rPr>
          <w:rFonts w:hint="eastAsia"/>
          <w:sz w:val="28"/>
        </w:rPr>
        <w:t>年长春市印发了《关于进一</w:t>
      </w:r>
      <w:r>
        <w:rPr>
          <w:rFonts w:hint="eastAsia"/>
          <w:sz w:val="28"/>
        </w:rPr>
        <w:t>步加强长春市城镇污水处理厂污泥、市政管网清淤污泥处置管控工作的通知》《关于对污泥处理</w:t>
      </w:r>
      <w:r>
        <w:rPr>
          <w:rFonts w:hint="eastAsia"/>
          <w:sz w:val="28"/>
        </w:rPr>
        <w:lastRenderedPageBreak/>
        <w:t>处置单位加强监管的通知》《关于加强长春市城镇污水处理厂污泥处理行业管理的通知》等文件，并建立了污泥月调度制度，对长春市城镇污水处理厂的污泥处置加强监管。</w:t>
      </w:r>
    </w:p>
    <w:p w:rsidR="005A1ADB" w:rsidRDefault="000B6ECF">
      <w:pPr>
        <w:widowControl/>
        <w:spacing w:after="120" w:line="300" w:lineRule="auto"/>
        <w:ind w:firstLine="420"/>
        <w:jc w:val="center"/>
      </w:pPr>
      <w:r>
        <w:rPr>
          <w:noProof/>
        </w:rPr>
        <w:drawing>
          <wp:inline distT="0" distB="0" distL="114300" distR="114300">
            <wp:extent cx="3411220" cy="2145030"/>
            <wp:effectExtent l="4445" t="4445" r="13335"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1ADB" w:rsidRDefault="000B6ECF">
      <w:pPr>
        <w:pStyle w:val="a4"/>
        <w:widowControl/>
        <w:spacing w:after="120" w:line="300" w:lineRule="auto"/>
        <w:ind w:firstLineChars="200" w:firstLine="400"/>
        <w:jc w:val="center"/>
      </w:pPr>
      <w:r>
        <w:t>图</w:t>
      </w:r>
      <w:r>
        <w:t xml:space="preserve"> </w:t>
      </w:r>
      <w:r w:rsidR="005A1ADB">
        <w:fldChar w:fldCharType="begin"/>
      </w:r>
      <w:r>
        <w:instrText xml:space="preserve"> SEQ </w:instrText>
      </w:r>
      <w:r>
        <w:instrText>图</w:instrText>
      </w:r>
      <w:r>
        <w:instrText xml:space="preserve"> \* ARABIC </w:instrText>
      </w:r>
      <w:r w:rsidR="005A1ADB">
        <w:fldChar w:fldCharType="separate"/>
      </w:r>
      <w:r>
        <w:t>7</w:t>
      </w:r>
      <w:r w:rsidR="005A1ADB">
        <w:fldChar w:fldCharType="end"/>
      </w:r>
      <w:r>
        <w:rPr>
          <w:rFonts w:hint="eastAsia"/>
        </w:rPr>
        <w:tab/>
      </w:r>
      <w:r>
        <w:rPr>
          <w:rFonts w:hint="eastAsia"/>
        </w:rPr>
        <w:tab/>
        <w:t>2020</w:t>
      </w:r>
      <w:r>
        <w:rPr>
          <w:rFonts w:hint="eastAsia"/>
        </w:rPr>
        <w:t>年长春市污泥处置去向构成</w:t>
      </w:r>
    </w:p>
    <w:p w:rsidR="005A1ADB" w:rsidRDefault="000B6ECF">
      <w:pPr>
        <w:pStyle w:val="5"/>
        <w:rPr>
          <w:rFonts w:ascii="宋体" w:eastAsia="宋体" w:hAnsi="宋体" w:cs="宋体"/>
        </w:rPr>
      </w:pPr>
      <w:r>
        <w:rPr>
          <w:rFonts w:ascii="宋体" w:eastAsia="宋体" w:hAnsi="宋体" w:cs="宋体" w:hint="eastAsia"/>
        </w:rPr>
        <w:t>2.2.3.3</w:t>
      </w:r>
      <w:r>
        <w:rPr>
          <w:rFonts w:ascii="宋体" w:eastAsia="宋体" w:hAnsi="宋体" w:cs="宋体" w:hint="eastAsia"/>
        </w:rPr>
        <w:t>生活源固体废物产生预测</w:t>
      </w:r>
    </w:p>
    <w:p w:rsidR="005A1ADB" w:rsidRDefault="000B6ECF">
      <w:pPr>
        <w:widowControl/>
        <w:spacing w:after="120" w:line="300" w:lineRule="auto"/>
        <w:ind w:firstLine="420"/>
        <w:jc w:val="left"/>
        <w:rPr>
          <w:sz w:val="28"/>
        </w:rPr>
      </w:pPr>
      <w:r>
        <w:rPr>
          <w:rFonts w:hint="eastAsia"/>
          <w:sz w:val="28"/>
        </w:rPr>
        <w:t>依据《长春市环境卫生专项规划（</w:t>
      </w:r>
      <w:r>
        <w:rPr>
          <w:rFonts w:hint="eastAsia"/>
          <w:sz w:val="28"/>
        </w:rPr>
        <w:t>2020-2035</w:t>
      </w:r>
      <w:r>
        <w:rPr>
          <w:rFonts w:hint="eastAsia"/>
          <w:sz w:val="28"/>
        </w:rPr>
        <w:t>年）》，采用人均产生量法对长春市城市生活垃圾年产生量进行预测，</w:t>
      </w:r>
      <w:r>
        <w:rPr>
          <w:rFonts w:hint="eastAsia"/>
          <w:sz w:val="28"/>
        </w:rPr>
        <w:t>2025</w:t>
      </w:r>
      <w:r>
        <w:rPr>
          <w:rFonts w:hint="eastAsia"/>
          <w:sz w:val="28"/>
        </w:rPr>
        <w:t>年长春市总人口约</w:t>
      </w:r>
      <w:r>
        <w:rPr>
          <w:rFonts w:hint="eastAsia"/>
          <w:sz w:val="28"/>
        </w:rPr>
        <w:t>9</w:t>
      </w:r>
      <w:r>
        <w:rPr>
          <w:sz w:val="28"/>
        </w:rPr>
        <w:t>60</w:t>
      </w:r>
      <w:r>
        <w:rPr>
          <w:sz w:val="28"/>
        </w:rPr>
        <w:t>万人，</w:t>
      </w:r>
      <w:r>
        <w:rPr>
          <w:rFonts w:hint="eastAsia"/>
          <w:sz w:val="28"/>
        </w:rPr>
        <w:t>按城乡人均生活垃圾产生量</w:t>
      </w:r>
      <w:r>
        <w:rPr>
          <w:rFonts w:hint="eastAsia"/>
          <w:sz w:val="28"/>
        </w:rPr>
        <w:t>1.2</w:t>
      </w:r>
      <w:r>
        <w:rPr>
          <w:rFonts w:hint="eastAsia"/>
          <w:sz w:val="28"/>
        </w:rPr>
        <w:t>千克</w:t>
      </w:r>
      <w:r>
        <w:rPr>
          <w:rFonts w:hint="eastAsia"/>
          <w:sz w:val="28"/>
        </w:rPr>
        <w:t>/</w:t>
      </w:r>
      <w:r>
        <w:rPr>
          <w:rFonts w:hint="eastAsia"/>
          <w:sz w:val="28"/>
        </w:rPr>
        <w:t>日进行计算，预测长春市</w:t>
      </w:r>
      <w:r>
        <w:rPr>
          <w:rFonts w:hint="eastAsia"/>
          <w:sz w:val="28"/>
        </w:rPr>
        <w:t>2</w:t>
      </w:r>
      <w:r>
        <w:rPr>
          <w:sz w:val="28"/>
        </w:rPr>
        <w:t>025</w:t>
      </w:r>
      <w:r>
        <w:rPr>
          <w:sz w:val="28"/>
        </w:rPr>
        <w:t>年</w:t>
      </w:r>
      <w:r>
        <w:rPr>
          <w:rFonts w:hint="eastAsia"/>
          <w:sz w:val="28"/>
        </w:rPr>
        <w:t>生活垃圾产生量约为</w:t>
      </w:r>
      <w:r>
        <w:rPr>
          <w:sz w:val="28"/>
        </w:rPr>
        <w:t>11520</w:t>
      </w:r>
      <w:r>
        <w:rPr>
          <w:sz w:val="28"/>
        </w:rPr>
        <w:t>吨</w:t>
      </w:r>
      <w:r>
        <w:rPr>
          <w:rFonts w:hint="eastAsia"/>
          <w:sz w:val="28"/>
        </w:rPr>
        <w:t>/</w:t>
      </w:r>
      <w:r>
        <w:rPr>
          <w:rFonts w:hint="eastAsia"/>
          <w:sz w:val="28"/>
        </w:rPr>
        <w:t>日。其中，按照到</w:t>
      </w:r>
      <w:r>
        <w:rPr>
          <w:rFonts w:hint="eastAsia"/>
          <w:sz w:val="28"/>
        </w:rPr>
        <w:t>2025</w:t>
      </w:r>
      <w:r>
        <w:rPr>
          <w:rFonts w:hint="eastAsia"/>
          <w:sz w:val="28"/>
        </w:rPr>
        <w:t>年有</w:t>
      </w:r>
      <w:r>
        <w:rPr>
          <w:rFonts w:hint="eastAsia"/>
          <w:sz w:val="28"/>
        </w:rPr>
        <w:t>50%</w:t>
      </w:r>
      <w:r>
        <w:rPr>
          <w:rFonts w:hint="eastAsia"/>
          <w:sz w:val="28"/>
        </w:rPr>
        <w:t>厨余垃圾能够从生活垃圾中分离处置计算，到</w:t>
      </w:r>
      <w:r>
        <w:rPr>
          <w:rFonts w:hint="eastAsia"/>
          <w:sz w:val="28"/>
        </w:rPr>
        <w:t>2025</w:t>
      </w:r>
      <w:r>
        <w:rPr>
          <w:rFonts w:hint="eastAsia"/>
          <w:sz w:val="28"/>
        </w:rPr>
        <w:t>年厨余垃圾产生量和处理量分别为</w:t>
      </w:r>
      <w:r>
        <w:rPr>
          <w:rFonts w:hint="eastAsia"/>
          <w:sz w:val="28"/>
        </w:rPr>
        <w:t>4</w:t>
      </w:r>
      <w:r>
        <w:rPr>
          <w:sz w:val="28"/>
        </w:rPr>
        <w:t>032</w:t>
      </w:r>
      <w:r>
        <w:rPr>
          <w:sz w:val="28"/>
        </w:rPr>
        <w:t>吨</w:t>
      </w:r>
      <w:r>
        <w:rPr>
          <w:rFonts w:hint="eastAsia"/>
          <w:sz w:val="28"/>
        </w:rPr>
        <w:t>/</w:t>
      </w:r>
      <w:r>
        <w:rPr>
          <w:rFonts w:hint="eastAsia"/>
          <w:sz w:val="28"/>
        </w:rPr>
        <w:t>日、</w:t>
      </w:r>
      <w:r>
        <w:rPr>
          <w:rFonts w:hint="eastAsia"/>
          <w:sz w:val="28"/>
        </w:rPr>
        <w:t>2</w:t>
      </w:r>
      <w:r>
        <w:rPr>
          <w:sz w:val="28"/>
        </w:rPr>
        <w:t>016</w:t>
      </w:r>
      <w:r>
        <w:rPr>
          <w:sz w:val="28"/>
        </w:rPr>
        <w:t>吨</w:t>
      </w:r>
      <w:r>
        <w:rPr>
          <w:rFonts w:hint="eastAsia"/>
          <w:sz w:val="28"/>
        </w:rPr>
        <w:t>/</w:t>
      </w:r>
      <w:r>
        <w:rPr>
          <w:rFonts w:hint="eastAsia"/>
          <w:sz w:val="28"/>
        </w:rPr>
        <w:t>日。</w:t>
      </w:r>
      <w:r>
        <w:rPr>
          <w:sz w:val="28"/>
        </w:rPr>
        <w:t xml:space="preserve"> </w:t>
      </w:r>
      <w:r>
        <w:rPr>
          <w:rFonts w:hint="eastAsia"/>
          <w:sz w:val="28"/>
        </w:rPr>
        <w:t>结合生活垃圾预测增速，采用年增长率法对再生资源回收量进行预测，预计到</w:t>
      </w:r>
      <w:r>
        <w:rPr>
          <w:rFonts w:hint="eastAsia"/>
          <w:sz w:val="28"/>
        </w:rPr>
        <w:t>2025</w:t>
      </w:r>
      <w:r>
        <w:rPr>
          <w:rFonts w:hint="eastAsia"/>
          <w:sz w:val="28"/>
        </w:rPr>
        <w:t>年再生资源回收量达到约</w:t>
      </w:r>
      <w:r>
        <w:rPr>
          <w:rFonts w:hint="eastAsia"/>
          <w:sz w:val="28"/>
        </w:rPr>
        <w:t>1200</w:t>
      </w:r>
      <w:r>
        <w:rPr>
          <w:rFonts w:hint="eastAsia"/>
          <w:sz w:val="28"/>
        </w:rPr>
        <w:t>万吨</w:t>
      </w:r>
      <w:r>
        <w:rPr>
          <w:rFonts w:hint="eastAsia"/>
          <w:sz w:val="28"/>
        </w:rPr>
        <w:t>/</w:t>
      </w:r>
      <w:r>
        <w:rPr>
          <w:rFonts w:hint="eastAsia"/>
          <w:sz w:val="28"/>
        </w:rPr>
        <w:t>年。</w:t>
      </w:r>
    </w:p>
    <w:p w:rsidR="005A1ADB" w:rsidRDefault="000B6ECF">
      <w:pPr>
        <w:widowControl/>
        <w:spacing w:after="120" w:line="300" w:lineRule="auto"/>
        <w:ind w:firstLineChars="200" w:firstLine="560"/>
        <w:jc w:val="left"/>
        <w:rPr>
          <w:sz w:val="28"/>
        </w:rPr>
      </w:pPr>
      <w:r>
        <w:rPr>
          <w:rFonts w:hint="eastAsia"/>
          <w:sz w:val="28"/>
        </w:rPr>
        <w:t>依据《长春市城镇污水处理厂污泥处理处置专项规划（</w:t>
      </w:r>
      <w:r>
        <w:rPr>
          <w:rFonts w:hint="eastAsia"/>
          <w:sz w:val="28"/>
        </w:rPr>
        <w:t>2021-2035</w:t>
      </w:r>
      <w:r>
        <w:rPr>
          <w:rFonts w:hint="eastAsia"/>
          <w:sz w:val="28"/>
        </w:rPr>
        <w:t>年）》，“十四五”期间规划扩建、续建及新建污水污水处理厂处理</w:t>
      </w:r>
      <w:r>
        <w:rPr>
          <w:rFonts w:hint="eastAsia"/>
          <w:sz w:val="28"/>
        </w:rPr>
        <w:lastRenderedPageBreak/>
        <w:t>能力为</w:t>
      </w:r>
      <w:r>
        <w:rPr>
          <w:rFonts w:hint="eastAsia"/>
          <w:sz w:val="28"/>
        </w:rPr>
        <w:t>48.5</w:t>
      </w:r>
      <w:r>
        <w:rPr>
          <w:rFonts w:hint="eastAsia"/>
          <w:sz w:val="28"/>
        </w:rPr>
        <w:t>万立方米</w:t>
      </w:r>
      <w:r>
        <w:rPr>
          <w:rFonts w:hint="eastAsia"/>
          <w:sz w:val="28"/>
        </w:rPr>
        <w:t>/</w:t>
      </w:r>
      <w:r>
        <w:rPr>
          <w:rFonts w:hint="eastAsia"/>
          <w:sz w:val="28"/>
        </w:rPr>
        <w:t>日。按照污水处理厂</w:t>
      </w:r>
      <w:r>
        <w:rPr>
          <w:rFonts w:hint="eastAsia"/>
          <w:sz w:val="28"/>
        </w:rPr>
        <w:t>80%</w:t>
      </w:r>
      <w:r>
        <w:rPr>
          <w:rFonts w:hint="eastAsia"/>
          <w:sz w:val="28"/>
        </w:rPr>
        <w:t>的运行负荷、</w:t>
      </w:r>
      <w:r>
        <w:rPr>
          <w:rFonts w:hint="eastAsia"/>
          <w:sz w:val="28"/>
        </w:rPr>
        <w:t>6-9</w:t>
      </w:r>
      <w:r>
        <w:rPr>
          <w:rFonts w:hint="eastAsia"/>
          <w:sz w:val="28"/>
        </w:rPr>
        <w:t>吨</w:t>
      </w:r>
      <w:r>
        <w:rPr>
          <w:rFonts w:hint="eastAsia"/>
          <w:sz w:val="28"/>
        </w:rPr>
        <w:t>/</w:t>
      </w:r>
      <w:r>
        <w:rPr>
          <w:rFonts w:hint="eastAsia"/>
          <w:sz w:val="28"/>
        </w:rPr>
        <w:t>万立方米污泥规划参数推测，待“十四五”期间规划扩建、续建及新建污水处理厂项目全部完成后，到</w:t>
      </w:r>
      <w:r>
        <w:rPr>
          <w:rFonts w:hint="eastAsia"/>
          <w:sz w:val="28"/>
        </w:rPr>
        <w:t>2025</w:t>
      </w:r>
      <w:r>
        <w:rPr>
          <w:rFonts w:hint="eastAsia"/>
          <w:sz w:val="28"/>
        </w:rPr>
        <w:t>年底全市污泥量将达到</w:t>
      </w:r>
      <w:r>
        <w:rPr>
          <w:rFonts w:hint="eastAsia"/>
          <w:sz w:val="28"/>
        </w:rPr>
        <w:t>2038-2290.8</w:t>
      </w:r>
      <w:r>
        <w:rPr>
          <w:rFonts w:hint="eastAsia"/>
          <w:sz w:val="28"/>
        </w:rPr>
        <w:t>吨</w:t>
      </w:r>
      <w:r>
        <w:rPr>
          <w:rFonts w:hint="eastAsia"/>
          <w:sz w:val="28"/>
        </w:rPr>
        <w:t>/</w:t>
      </w:r>
      <w:r>
        <w:rPr>
          <w:rFonts w:hint="eastAsia"/>
          <w:sz w:val="28"/>
        </w:rPr>
        <w:t>日。</w:t>
      </w:r>
    </w:p>
    <w:p w:rsidR="005A1ADB" w:rsidRDefault="000B6ECF">
      <w:pPr>
        <w:pStyle w:val="4"/>
      </w:pPr>
      <w:r>
        <w:rPr>
          <w:rFonts w:hint="eastAsia"/>
        </w:rPr>
        <w:t>2.2.4</w:t>
      </w:r>
      <w:r>
        <w:rPr>
          <w:rFonts w:hint="eastAsia"/>
        </w:rPr>
        <w:t>城市建设及建筑垃圾管理现状</w:t>
      </w:r>
    </w:p>
    <w:p w:rsidR="005A1ADB" w:rsidRDefault="000B6ECF">
      <w:pPr>
        <w:pStyle w:val="5"/>
        <w:rPr>
          <w:rFonts w:ascii="宋体" w:eastAsia="宋体" w:hAnsi="宋体" w:cs="宋体"/>
        </w:rPr>
      </w:pPr>
      <w:r>
        <w:rPr>
          <w:rFonts w:ascii="宋体" w:eastAsia="宋体" w:hAnsi="宋体" w:cs="宋体" w:hint="eastAsia"/>
        </w:rPr>
        <w:t>2.2.4.1</w:t>
      </w:r>
      <w:r>
        <w:rPr>
          <w:rFonts w:ascii="宋体" w:eastAsia="宋体" w:hAnsi="宋体" w:cs="宋体" w:hint="eastAsia"/>
        </w:rPr>
        <w:t>城市建设基本情况</w:t>
      </w:r>
    </w:p>
    <w:p w:rsidR="005A1ADB" w:rsidRDefault="000B6ECF">
      <w:pPr>
        <w:ind w:firstLineChars="200" w:firstLine="560"/>
        <w:rPr>
          <w:sz w:val="28"/>
          <w:szCs w:val="32"/>
        </w:rPr>
      </w:pPr>
      <w:r>
        <w:rPr>
          <w:rFonts w:hint="eastAsia"/>
          <w:sz w:val="28"/>
          <w:szCs w:val="32"/>
        </w:rPr>
        <w:t>在城市建设方面，长春市</w:t>
      </w:r>
      <w:r>
        <w:rPr>
          <w:rFonts w:hint="eastAsia"/>
          <w:sz w:val="28"/>
          <w:szCs w:val="32"/>
        </w:rPr>
        <w:t>2020</w:t>
      </w:r>
      <w:r>
        <w:rPr>
          <w:rFonts w:hint="eastAsia"/>
          <w:sz w:val="28"/>
          <w:szCs w:val="32"/>
        </w:rPr>
        <w:t>年完成建筑业增加值</w:t>
      </w:r>
      <w:r>
        <w:rPr>
          <w:rFonts w:hint="eastAsia"/>
          <w:sz w:val="28"/>
          <w:szCs w:val="32"/>
        </w:rPr>
        <w:t>441.3</w:t>
      </w:r>
      <w:r>
        <w:rPr>
          <w:rFonts w:hint="eastAsia"/>
          <w:sz w:val="28"/>
          <w:szCs w:val="32"/>
        </w:rPr>
        <w:t>亿元。</w:t>
      </w:r>
    </w:p>
    <w:p w:rsidR="005A1ADB" w:rsidRDefault="000B6ECF">
      <w:pPr>
        <w:ind w:firstLineChars="200" w:firstLine="560"/>
        <w:rPr>
          <w:sz w:val="28"/>
          <w:szCs w:val="32"/>
        </w:rPr>
      </w:pPr>
      <w:r>
        <w:rPr>
          <w:rFonts w:hint="eastAsia"/>
          <w:sz w:val="28"/>
          <w:szCs w:val="32"/>
        </w:rPr>
        <w:t>完成道路新建和扩建长度</w:t>
      </w:r>
      <w:r>
        <w:rPr>
          <w:rFonts w:hint="eastAsia"/>
          <w:sz w:val="28"/>
          <w:szCs w:val="32"/>
        </w:rPr>
        <w:t>286.8</w:t>
      </w:r>
      <w:r>
        <w:rPr>
          <w:rFonts w:hint="eastAsia"/>
          <w:sz w:val="28"/>
          <w:szCs w:val="32"/>
        </w:rPr>
        <w:t>公里，全市道路总面积达到</w:t>
      </w:r>
      <w:r>
        <w:rPr>
          <w:rFonts w:hint="eastAsia"/>
          <w:sz w:val="28"/>
          <w:szCs w:val="32"/>
        </w:rPr>
        <w:t>8777</w:t>
      </w:r>
      <w:r>
        <w:rPr>
          <w:rFonts w:hint="eastAsia"/>
          <w:sz w:val="28"/>
          <w:szCs w:val="32"/>
        </w:rPr>
        <w:t>万平方米，道路长度达到</w:t>
      </w:r>
      <w:r>
        <w:rPr>
          <w:rFonts w:hint="eastAsia"/>
          <w:sz w:val="28"/>
          <w:szCs w:val="32"/>
        </w:rPr>
        <w:t>5939.9</w:t>
      </w:r>
      <w:r>
        <w:rPr>
          <w:rFonts w:hint="eastAsia"/>
          <w:sz w:val="28"/>
          <w:szCs w:val="32"/>
        </w:rPr>
        <w:t>公里。</w:t>
      </w:r>
    </w:p>
    <w:p w:rsidR="005A1ADB" w:rsidRDefault="000B6ECF">
      <w:pPr>
        <w:ind w:firstLineChars="200" w:firstLine="560"/>
        <w:rPr>
          <w:sz w:val="28"/>
          <w:szCs w:val="32"/>
        </w:rPr>
      </w:pPr>
      <w:r>
        <w:rPr>
          <w:rFonts w:hint="eastAsia"/>
          <w:sz w:val="28"/>
          <w:szCs w:val="32"/>
        </w:rPr>
        <w:t>全市商品房施工面积</w:t>
      </w:r>
      <w:r>
        <w:rPr>
          <w:rFonts w:hint="eastAsia"/>
          <w:sz w:val="28"/>
          <w:szCs w:val="32"/>
        </w:rPr>
        <w:t>7979.8</w:t>
      </w:r>
      <w:r>
        <w:rPr>
          <w:rFonts w:hint="eastAsia"/>
          <w:sz w:val="28"/>
          <w:szCs w:val="32"/>
        </w:rPr>
        <w:t>万平方米，商品房竣工面积</w:t>
      </w:r>
      <w:r>
        <w:rPr>
          <w:rFonts w:hint="eastAsia"/>
          <w:sz w:val="28"/>
          <w:szCs w:val="32"/>
        </w:rPr>
        <w:t>602.6</w:t>
      </w:r>
      <w:r>
        <w:rPr>
          <w:rFonts w:hint="eastAsia"/>
          <w:sz w:val="28"/>
          <w:szCs w:val="32"/>
        </w:rPr>
        <w:t>万平方米。</w:t>
      </w:r>
    </w:p>
    <w:p w:rsidR="005A1ADB" w:rsidRDefault="000B6ECF">
      <w:pPr>
        <w:pStyle w:val="5"/>
        <w:rPr>
          <w:rFonts w:ascii="宋体" w:eastAsia="宋体" w:hAnsi="宋体" w:cs="宋体"/>
        </w:rPr>
      </w:pPr>
      <w:r>
        <w:rPr>
          <w:rFonts w:ascii="宋体" w:eastAsia="宋体" w:hAnsi="宋体" w:cs="宋体" w:hint="eastAsia"/>
        </w:rPr>
        <w:t>2.2.4.2</w:t>
      </w:r>
      <w:r>
        <w:rPr>
          <w:rFonts w:ascii="宋体" w:eastAsia="宋体" w:hAnsi="宋体" w:cs="宋体" w:hint="eastAsia"/>
        </w:rPr>
        <w:t>建筑垃圾管理现状</w:t>
      </w:r>
    </w:p>
    <w:p w:rsidR="005A1ADB" w:rsidRDefault="000B6ECF">
      <w:pPr>
        <w:ind w:firstLineChars="200" w:firstLine="560"/>
        <w:rPr>
          <w:sz w:val="28"/>
          <w:szCs w:val="32"/>
        </w:rPr>
      </w:pPr>
      <w:r>
        <w:rPr>
          <w:rFonts w:hint="eastAsia"/>
          <w:sz w:val="28"/>
          <w:szCs w:val="32"/>
        </w:rPr>
        <w:t>全市建筑垃圾年产生量约</w:t>
      </w:r>
      <w:r>
        <w:rPr>
          <w:rFonts w:hint="eastAsia"/>
          <w:sz w:val="28"/>
          <w:szCs w:val="32"/>
        </w:rPr>
        <w:t>2</w:t>
      </w:r>
      <w:r>
        <w:rPr>
          <w:sz w:val="28"/>
          <w:szCs w:val="32"/>
        </w:rPr>
        <w:t>68</w:t>
      </w:r>
      <w:r>
        <w:rPr>
          <w:rFonts w:hint="eastAsia"/>
          <w:sz w:val="28"/>
          <w:szCs w:val="32"/>
        </w:rPr>
        <w:t>0</w:t>
      </w:r>
      <w:r>
        <w:rPr>
          <w:rFonts w:hint="eastAsia"/>
          <w:sz w:val="28"/>
          <w:szCs w:val="32"/>
        </w:rPr>
        <w:t>万吨，主要分为工程渣土、装修垃圾和拆除垃圾三种类型。其中，工程渣土类年产生量约</w:t>
      </w:r>
      <w:r>
        <w:rPr>
          <w:rFonts w:hint="eastAsia"/>
          <w:sz w:val="28"/>
          <w:szCs w:val="32"/>
        </w:rPr>
        <w:t>2100</w:t>
      </w:r>
      <w:r>
        <w:rPr>
          <w:rFonts w:hint="eastAsia"/>
          <w:sz w:val="28"/>
          <w:szCs w:val="32"/>
        </w:rPr>
        <w:t>万吨，处理方式多为填坑、工程回填、堆坡造景等，综合利用率约</w:t>
      </w:r>
      <w:r>
        <w:rPr>
          <w:rFonts w:hint="eastAsia"/>
          <w:sz w:val="28"/>
          <w:szCs w:val="32"/>
        </w:rPr>
        <w:t>50%</w:t>
      </w:r>
      <w:r>
        <w:rPr>
          <w:rFonts w:hint="eastAsia"/>
          <w:sz w:val="28"/>
          <w:szCs w:val="32"/>
        </w:rPr>
        <w:t>；拆除垃圾年产生量约</w:t>
      </w:r>
      <w:r>
        <w:rPr>
          <w:rFonts w:hint="eastAsia"/>
          <w:sz w:val="28"/>
          <w:szCs w:val="32"/>
        </w:rPr>
        <w:t>400</w:t>
      </w:r>
      <w:r>
        <w:rPr>
          <w:rFonts w:hint="eastAsia"/>
          <w:sz w:val="28"/>
          <w:szCs w:val="32"/>
        </w:rPr>
        <w:t>万吨，主要是房屋拆除产生的垃圾，多由拆除企业自行分拣处置，主要运送临时堆存场所；装修垃圾年产量约</w:t>
      </w:r>
      <w:r>
        <w:rPr>
          <w:sz w:val="28"/>
          <w:szCs w:val="32"/>
        </w:rPr>
        <w:t>18</w:t>
      </w:r>
      <w:r>
        <w:rPr>
          <w:rFonts w:hint="eastAsia"/>
          <w:sz w:val="28"/>
          <w:szCs w:val="32"/>
        </w:rPr>
        <w:t>0</w:t>
      </w:r>
      <w:r>
        <w:rPr>
          <w:rFonts w:hint="eastAsia"/>
          <w:sz w:val="28"/>
          <w:szCs w:val="32"/>
        </w:rPr>
        <w:t>万吨，主要是居民、商家装修产生的垃圾，由各区环卫部门或街道办事处收运后集中临时堆存。</w:t>
      </w:r>
    </w:p>
    <w:p w:rsidR="005A1ADB" w:rsidRDefault="000B6ECF">
      <w:pPr>
        <w:widowControl/>
        <w:spacing w:after="120" w:line="300" w:lineRule="auto"/>
        <w:ind w:firstLine="561"/>
        <w:jc w:val="left"/>
        <w:rPr>
          <w:sz w:val="28"/>
        </w:rPr>
      </w:pPr>
      <w:r>
        <w:rPr>
          <w:rFonts w:hint="eastAsia"/>
          <w:sz w:val="28"/>
        </w:rPr>
        <w:lastRenderedPageBreak/>
        <w:t>在装修垃圾</w:t>
      </w:r>
      <w:r>
        <w:rPr>
          <w:rFonts w:hint="eastAsia"/>
          <w:sz w:val="28"/>
        </w:rPr>
        <w:t>方面，截止到</w:t>
      </w:r>
      <w:r>
        <w:rPr>
          <w:rFonts w:hint="eastAsia"/>
          <w:sz w:val="28"/>
        </w:rPr>
        <w:t>2020</w:t>
      </w:r>
      <w:r>
        <w:rPr>
          <w:rFonts w:hint="eastAsia"/>
          <w:sz w:val="28"/>
        </w:rPr>
        <w:t>年长春市市区共有居民建筑垃圾暂存场所</w:t>
      </w:r>
      <w:r>
        <w:rPr>
          <w:rFonts w:hint="eastAsia"/>
          <w:sz w:val="28"/>
        </w:rPr>
        <w:t>13</w:t>
      </w:r>
      <w:r>
        <w:rPr>
          <w:rFonts w:hint="eastAsia"/>
          <w:sz w:val="28"/>
        </w:rPr>
        <w:t>处，分别位于南关、宽城等</w:t>
      </w:r>
      <w:r>
        <w:rPr>
          <w:rFonts w:hint="eastAsia"/>
          <w:sz w:val="28"/>
        </w:rPr>
        <w:t>9</w:t>
      </w:r>
      <w:r>
        <w:rPr>
          <w:rFonts w:hint="eastAsia"/>
          <w:sz w:val="28"/>
        </w:rPr>
        <w:t>个城区，</w:t>
      </w:r>
      <w:r>
        <w:rPr>
          <w:rFonts w:hint="eastAsia"/>
          <w:sz w:val="28"/>
        </w:rPr>
        <w:t>2020</w:t>
      </w:r>
      <w:r>
        <w:rPr>
          <w:rFonts w:hint="eastAsia"/>
          <w:sz w:val="28"/>
        </w:rPr>
        <w:t>年居民装修垃圾收运量为</w:t>
      </w:r>
      <w:r>
        <w:rPr>
          <w:rFonts w:hint="eastAsia"/>
          <w:sz w:val="28"/>
        </w:rPr>
        <w:t>76.42</w:t>
      </w:r>
      <w:r>
        <w:rPr>
          <w:rFonts w:hint="eastAsia"/>
          <w:sz w:val="28"/>
        </w:rPr>
        <w:t>万吨，利用处置量为</w:t>
      </w:r>
      <w:r>
        <w:rPr>
          <w:rFonts w:hint="eastAsia"/>
          <w:sz w:val="28"/>
        </w:rPr>
        <w:t>73.67</w:t>
      </w:r>
      <w:r>
        <w:rPr>
          <w:rFonts w:hint="eastAsia"/>
          <w:sz w:val="28"/>
        </w:rPr>
        <w:t>万吨，贮存量为</w:t>
      </w:r>
      <w:r>
        <w:rPr>
          <w:rFonts w:hint="eastAsia"/>
          <w:sz w:val="28"/>
        </w:rPr>
        <w:t>11.75</w:t>
      </w:r>
      <w:r>
        <w:rPr>
          <w:rFonts w:hint="eastAsia"/>
          <w:sz w:val="28"/>
        </w:rPr>
        <w:t>万吨。其中，装修垃圾资源化利用量为</w:t>
      </w:r>
      <w:r>
        <w:rPr>
          <w:rFonts w:hint="eastAsia"/>
          <w:sz w:val="28"/>
        </w:rPr>
        <w:t>30.82</w:t>
      </w:r>
      <w:r>
        <w:rPr>
          <w:rFonts w:hint="eastAsia"/>
          <w:sz w:val="28"/>
        </w:rPr>
        <w:t>万吨，利用方式包括铺路、焚烧发电等，堆填处置量</w:t>
      </w:r>
      <w:r>
        <w:rPr>
          <w:rFonts w:hint="eastAsia"/>
          <w:sz w:val="28"/>
        </w:rPr>
        <w:t>19.16</w:t>
      </w:r>
      <w:r>
        <w:rPr>
          <w:rFonts w:hint="eastAsia"/>
          <w:sz w:val="28"/>
        </w:rPr>
        <w:t>万吨，填埋处置量</w:t>
      </w:r>
      <w:r>
        <w:rPr>
          <w:rFonts w:hint="eastAsia"/>
          <w:sz w:val="28"/>
        </w:rPr>
        <w:t>23.69</w:t>
      </w:r>
      <w:r>
        <w:rPr>
          <w:rFonts w:hint="eastAsia"/>
          <w:sz w:val="28"/>
        </w:rPr>
        <w:t>万吨。</w:t>
      </w:r>
    </w:p>
    <w:p w:rsidR="005A1ADB" w:rsidRDefault="000B6ECF">
      <w:pPr>
        <w:widowControl/>
        <w:spacing w:after="120" w:line="300" w:lineRule="auto"/>
        <w:ind w:firstLine="561"/>
        <w:jc w:val="center"/>
      </w:pPr>
      <w:r>
        <w:rPr>
          <w:noProof/>
        </w:rPr>
        <w:drawing>
          <wp:inline distT="0" distB="0" distL="114300" distR="114300">
            <wp:extent cx="3141980" cy="2067560"/>
            <wp:effectExtent l="4445" t="4445" r="15875" b="1079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1ADB" w:rsidRDefault="000B6ECF">
      <w:pPr>
        <w:pStyle w:val="a4"/>
        <w:widowControl/>
        <w:spacing w:after="120" w:line="300" w:lineRule="auto"/>
        <w:ind w:firstLineChars="200" w:firstLine="400"/>
        <w:jc w:val="center"/>
      </w:pPr>
      <w:r>
        <w:t>图</w:t>
      </w:r>
      <w:r>
        <w:t xml:space="preserve"> </w:t>
      </w:r>
      <w:r w:rsidR="005A1ADB">
        <w:fldChar w:fldCharType="begin"/>
      </w:r>
      <w:r>
        <w:instrText xml:space="preserve"> SEQ </w:instrText>
      </w:r>
      <w:r>
        <w:instrText>图</w:instrText>
      </w:r>
      <w:r>
        <w:instrText xml:space="preserve"> \* ARABIC </w:instrText>
      </w:r>
      <w:r w:rsidR="005A1ADB">
        <w:fldChar w:fldCharType="separate"/>
      </w:r>
      <w:r>
        <w:t>8</w:t>
      </w:r>
      <w:r w:rsidR="005A1ADB">
        <w:fldChar w:fldCharType="end"/>
      </w:r>
      <w:r>
        <w:rPr>
          <w:rFonts w:hint="eastAsia"/>
        </w:rPr>
        <w:tab/>
      </w:r>
      <w:r>
        <w:rPr>
          <w:rFonts w:hint="eastAsia"/>
        </w:rPr>
        <w:tab/>
        <w:t>2020</w:t>
      </w:r>
      <w:r>
        <w:rPr>
          <w:rFonts w:hint="eastAsia"/>
        </w:rPr>
        <w:t>年长春市装修垃圾利用处置构成</w:t>
      </w:r>
    </w:p>
    <w:p w:rsidR="005A1ADB" w:rsidRDefault="000B6ECF">
      <w:pPr>
        <w:widowControl/>
        <w:spacing w:after="120" w:line="300" w:lineRule="auto"/>
        <w:ind w:firstLine="561"/>
        <w:jc w:val="left"/>
        <w:rPr>
          <w:sz w:val="28"/>
        </w:rPr>
      </w:pPr>
      <w:r>
        <w:rPr>
          <w:rFonts w:hint="eastAsia"/>
          <w:sz w:val="28"/>
        </w:rPr>
        <w:t>在建筑垃圾管理方面，长春市</w:t>
      </w:r>
      <w:r>
        <w:rPr>
          <w:sz w:val="28"/>
        </w:rPr>
        <w:t>出台了《长春市</w:t>
      </w:r>
      <w:r>
        <w:rPr>
          <w:rFonts w:hint="eastAsia"/>
          <w:sz w:val="28"/>
        </w:rPr>
        <w:t>城市</w:t>
      </w:r>
      <w:r>
        <w:rPr>
          <w:sz w:val="28"/>
        </w:rPr>
        <w:t>建筑垃圾管理办法》</w:t>
      </w:r>
      <w:r>
        <w:rPr>
          <w:rFonts w:hint="eastAsia"/>
          <w:sz w:val="28"/>
        </w:rPr>
        <w:t>，自</w:t>
      </w:r>
      <w:r>
        <w:rPr>
          <w:rFonts w:hint="eastAsia"/>
          <w:sz w:val="28"/>
        </w:rPr>
        <w:t>2020</w:t>
      </w:r>
      <w:r>
        <w:rPr>
          <w:rFonts w:hint="eastAsia"/>
          <w:sz w:val="28"/>
        </w:rPr>
        <w:t>年</w:t>
      </w:r>
      <w:r>
        <w:rPr>
          <w:rFonts w:hint="eastAsia"/>
          <w:sz w:val="28"/>
        </w:rPr>
        <w:t>3</w:t>
      </w:r>
      <w:r>
        <w:rPr>
          <w:rFonts w:hint="eastAsia"/>
          <w:sz w:val="28"/>
        </w:rPr>
        <w:t>月起施行，对市区内建筑</w:t>
      </w:r>
      <w:r>
        <w:rPr>
          <w:rFonts w:hint="eastAsia"/>
          <w:sz w:val="28"/>
        </w:rPr>
        <w:t>垃圾的减量减排、循环利用，收集、运输、中转、分拣、消纳等处置活动及其相关监督管理进行了规定。自</w:t>
      </w:r>
      <w:r>
        <w:rPr>
          <w:rFonts w:hint="eastAsia"/>
          <w:sz w:val="28"/>
        </w:rPr>
        <w:t>20</w:t>
      </w:r>
      <w:r>
        <w:rPr>
          <w:sz w:val="28"/>
        </w:rPr>
        <w:t>20</w:t>
      </w:r>
      <w:r>
        <w:rPr>
          <w:rFonts w:hint="eastAsia"/>
          <w:sz w:val="28"/>
        </w:rPr>
        <w:t>年</w:t>
      </w:r>
      <w:r>
        <w:rPr>
          <w:sz w:val="28"/>
        </w:rPr>
        <w:t>12</w:t>
      </w:r>
      <w:r>
        <w:rPr>
          <w:rFonts w:hint="eastAsia"/>
          <w:sz w:val="28"/>
        </w:rPr>
        <w:t>月份以来，长春市城市管理局大队全面开展建筑垃圾运输资质许可审批，推动建筑垃圾运输行业规范化发展。按照“源头管控有力、运输监管严密、消纳处置有序、管理精准高效”的要求，加强建筑垃圾源头、末端管控，开展建筑垃圾专项整治和联合督导检查，通过大数据、云计算、物联网等技术有效打击路线不符、随意倾倒等违法违规行为，规范建筑垃圾从产生源头到末端处置的全过程管控。在建筑垃圾信息化管理方面，长春市</w:t>
      </w:r>
      <w:r>
        <w:rPr>
          <w:sz w:val="28"/>
        </w:rPr>
        <w:t>创新</w:t>
      </w:r>
      <w:r>
        <w:rPr>
          <w:rFonts w:hint="eastAsia"/>
          <w:sz w:val="28"/>
        </w:rPr>
        <w:t>“三</w:t>
      </w:r>
      <w:r>
        <w:rPr>
          <w:sz w:val="28"/>
        </w:rPr>
        <w:t>点一线</w:t>
      </w:r>
      <w:r>
        <w:rPr>
          <w:rFonts w:hint="eastAsia"/>
          <w:sz w:val="28"/>
        </w:rPr>
        <w:t>”</w:t>
      </w:r>
      <w:r>
        <w:rPr>
          <w:sz w:val="28"/>
        </w:rPr>
        <w:t>智</w:t>
      </w:r>
      <w:r>
        <w:rPr>
          <w:sz w:val="28"/>
        </w:rPr>
        <w:lastRenderedPageBreak/>
        <w:t>能化</w:t>
      </w:r>
      <w:r>
        <w:rPr>
          <w:sz w:val="28"/>
        </w:rPr>
        <w:t>监管体系</w:t>
      </w:r>
      <w:r>
        <w:rPr>
          <w:rFonts w:hint="eastAsia"/>
          <w:sz w:val="28"/>
        </w:rPr>
        <w:t>，</w:t>
      </w:r>
      <w:r>
        <w:rPr>
          <w:sz w:val="28"/>
        </w:rPr>
        <w:t>搭建建筑垃圾智能监管平台，推动多部门审批信息资源共享，推广使用前端信息化监管设备，将建筑工地、建筑垃圾消纳场、建筑垃圾运输车辆、建筑垃圾运输路线全部纳入信息化监管范围，</w:t>
      </w:r>
      <w:r>
        <w:rPr>
          <w:rFonts w:hint="eastAsia"/>
          <w:sz w:val="28"/>
        </w:rPr>
        <w:t>有效</w:t>
      </w:r>
      <w:r>
        <w:rPr>
          <w:sz w:val="28"/>
        </w:rPr>
        <w:t>提升</w:t>
      </w:r>
      <w:r>
        <w:rPr>
          <w:rFonts w:hint="eastAsia"/>
          <w:sz w:val="28"/>
        </w:rPr>
        <w:t>了</w:t>
      </w:r>
      <w:r>
        <w:rPr>
          <w:sz w:val="28"/>
        </w:rPr>
        <w:t>监管效能。</w:t>
      </w:r>
      <w:r>
        <w:rPr>
          <w:sz w:val="28"/>
        </w:rPr>
        <w:t xml:space="preserve"> </w:t>
      </w:r>
    </w:p>
    <w:p w:rsidR="005A1ADB" w:rsidRDefault="000B6ECF">
      <w:pPr>
        <w:pStyle w:val="5"/>
        <w:rPr>
          <w:rFonts w:ascii="宋体" w:eastAsia="宋体" w:hAnsi="宋体" w:cs="宋体"/>
        </w:rPr>
      </w:pPr>
      <w:r>
        <w:rPr>
          <w:rFonts w:ascii="宋体" w:eastAsia="宋体" w:hAnsi="宋体" w:cs="宋体" w:hint="eastAsia"/>
        </w:rPr>
        <w:t>2.2.4.3</w:t>
      </w:r>
      <w:r>
        <w:rPr>
          <w:rFonts w:ascii="宋体" w:eastAsia="宋体" w:hAnsi="宋体" w:cs="宋体" w:hint="eastAsia"/>
        </w:rPr>
        <w:t>建筑垃圾产生预测</w:t>
      </w:r>
    </w:p>
    <w:p w:rsidR="005A1ADB" w:rsidRDefault="000B6ECF">
      <w:pPr>
        <w:widowControl/>
        <w:spacing w:after="120" w:line="300" w:lineRule="auto"/>
        <w:ind w:firstLine="561"/>
        <w:jc w:val="left"/>
        <w:rPr>
          <w:sz w:val="28"/>
        </w:rPr>
      </w:pPr>
      <w:r>
        <w:rPr>
          <w:rFonts w:hint="eastAsia"/>
          <w:sz w:val="28"/>
        </w:rPr>
        <w:t>依据《长春市环境卫生专项规划（</w:t>
      </w:r>
      <w:r>
        <w:rPr>
          <w:rFonts w:hint="eastAsia"/>
          <w:sz w:val="28"/>
        </w:rPr>
        <w:t>2020-2035</w:t>
      </w:r>
      <w:r>
        <w:rPr>
          <w:rFonts w:hint="eastAsia"/>
          <w:sz w:val="28"/>
        </w:rPr>
        <w:t>年）》，采用年增长率法对产生量进行预测，预测到</w:t>
      </w:r>
      <w:r>
        <w:rPr>
          <w:rFonts w:hint="eastAsia"/>
          <w:sz w:val="28"/>
        </w:rPr>
        <w:t>2025</w:t>
      </w:r>
      <w:r>
        <w:rPr>
          <w:rFonts w:hint="eastAsia"/>
          <w:sz w:val="28"/>
        </w:rPr>
        <w:t>年装修垃圾（含大件垃圾）年产生量为</w:t>
      </w:r>
      <w:r>
        <w:rPr>
          <w:rFonts w:hint="eastAsia"/>
          <w:sz w:val="28"/>
        </w:rPr>
        <w:t>200</w:t>
      </w:r>
      <w:r>
        <w:rPr>
          <w:rFonts w:hint="eastAsia"/>
          <w:sz w:val="28"/>
        </w:rPr>
        <w:t>万吨，拆除垃圾年产生量为</w:t>
      </w:r>
      <w:r>
        <w:rPr>
          <w:rFonts w:hint="eastAsia"/>
          <w:sz w:val="28"/>
        </w:rPr>
        <w:t>500</w:t>
      </w:r>
      <w:r>
        <w:rPr>
          <w:rFonts w:hint="eastAsia"/>
          <w:sz w:val="28"/>
        </w:rPr>
        <w:t>万吨，工程渣土年产生量为</w:t>
      </w:r>
      <w:r>
        <w:rPr>
          <w:rFonts w:hint="eastAsia"/>
          <w:sz w:val="28"/>
        </w:rPr>
        <w:t>2500</w:t>
      </w:r>
      <w:r>
        <w:rPr>
          <w:rFonts w:hint="eastAsia"/>
          <w:sz w:val="28"/>
        </w:rPr>
        <w:t>万吨。</w:t>
      </w:r>
      <w:r>
        <w:rPr>
          <w:sz w:val="28"/>
        </w:rPr>
        <w:t xml:space="preserve">  </w:t>
      </w:r>
    </w:p>
    <w:p w:rsidR="005A1ADB" w:rsidRDefault="000B6ECF">
      <w:pPr>
        <w:pStyle w:val="4"/>
      </w:pPr>
      <w:r>
        <w:rPr>
          <w:rFonts w:hint="eastAsia"/>
        </w:rPr>
        <w:t>2.2.5</w:t>
      </w:r>
      <w:r>
        <w:rPr>
          <w:rFonts w:hint="eastAsia"/>
        </w:rPr>
        <w:t>危险废物管理现状</w:t>
      </w:r>
    </w:p>
    <w:p w:rsidR="005A1ADB" w:rsidRDefault="000B6ECF">
      <w:pPr>
        <w:pStyle w:val="5"/>
        <w:rPr>
          <w:rFonts w:ascii="宋体" w:eastAsia="宋体" w:hAnsi="宋体" w:cs="宋体"/>
        </w:rPr>
      </w:pPr>
      <w:r>
        <w:rPr>
          <w:rFonts w:ascii="宋体" w:eastAsia="宋体" w:hAnsi="宋体" w:cs="宋体" w:hint="eastAsia"/>
        </w:rPr>
        <w:t>2.2.5.1</w:t>
      </w:r>
      <w:r>
        <w:rPr>
          <w:rFonts w:ascii="宋体" w:eastAsia="宋体" w:hAnsi="宋体" w:cs="宋体" w:hint="eastAsia"/>
        </w:rPr>
        <w:t>危险废物产生转移现状</w:t>
      </w:r>
    </w:p>
    <w:p w:rsidR="005A1ADB" w:rsidRDefault="000B6ECF">
      <w:pPr>
        <w:widowControl/>
        <w:spacing w:after="120" w:line="300" w:lineRule="auto"/>
        <w:ind w:firstLineChars="200" w:firstLine="560"/>
        <w:rPr>
          <w:sz w:val="28"/>
        </w:rPr>
      </w:pPr>
      <w:r>
        <w:rPr>
          <w:rFonts w:hint="eastAsia"/>
          <w:sz w:val="28"/>
        </w:rPr>
        <w:t>在危险废物产生方面，</w:t>
      </w:r>
      <w:r>
        <w:rPr>
          <w:rFonts w:hint="eastAsia"/>
          <w:sz w:val="28"/>
        </w:rPr>
        <w:t>2020</w:t>
      </w:r>
      <w:r>
        <w:rPr>
          <w:rFonts w:hint="eastAsia"/>
          <w:sz w:val="28"/>
        </w:rPr>
        <w:t>年长春市市域危险废物产生量为</w:t>
      </w:r>
      <w:r>
        <w:rPr>
          <w:sz w:val="28"/>
        </w:rPr>
        <w:t>18.76</w:t>
      </w:r>
      <w:r>
        <w:rPr>
          <w:rFonts w:hint="eastAsia"/>
          <w:sz w:val="28"/>
        </w:rPr>
        <w:t>万吨，废桶</w:t>
      </w:r>
      <w:r>
        <w:rPr>
          <w:rFonts w:hint="eastAsia"/>
          <w:sz w:val="28"/>
        </w:rPr>
        <w:t>17.85</w:t>
      </w:r>
      <w:r>
        <w:rPr>
          <w:rFonts w:hint="eastAsia"/>
          <w:sz w:val="28"/>
        </w:rPr>
        <w:t>万只，主要来源为工业危险废物、医疗废物等，工业危险废物产生强度为</w:t>
      </w:r>
      <w:r>
        <w:rPr>
          <w:rFonts w:hint="eastAsia"/>
          <w:sz w:val="28"/>
        </w:rPr>
        <w:t>12.14kg/</w:t>
      </w:r>
      <w:r>
        <w:rPr>
          <w:rFonts w:hint="eastAsia"/>
          <w:sz w:val="28"/>
        </w:rPr>
        <w:t>万元。其中，长春市工业危险废物产生量</w:t>
      </w:r>
      <w:r>
        <w:rPr>
          <w:rFonts w:hint="eastAsia"/>
          <w:sz w:val="28"/>
        </w:rPr>
        <w:t>17.85</w:t>
      </w:r>
      <w:r>
        <w:rPr>
          <w:rFonts w:hint="eastAsia"/>
          <w:sz w:val="28"/>
        </w:rPr>
        <w:t>万吨、废桶</w:t>
      </w:r>
      <w:r>
        <w:rPr>
          <w:rFonts w:hint="eastAsia"/>
          <w:sz w:val="28"/>
        </w:rPr>
        <w:t>17.85</w:t>
      </w:r>
      <w:r>
        <w:rPr>
          <w:rFonts w:hint="eastAsia"/>
          <w:sz w:val="28"/>
        </w:rPr>
        <w:t>万只，危险废物产生单位（以下简称产废单位）数量为</w:t>
      </w:r>
      <w:r>
        <w:rPr>
          <w:rFonts w:hint="eastAsia"/>
          <w:sz w:val="28"/>
        </w:rPr>
        <w:t>1613</w:t>
      </w:r>
      <w:r>
        <w:rPr>
          <w:rFonts w:hint="eastAsia"/>
          <w:sz w:val="28"/>
        </w:rPr>
        <w:t>家；医疗废物产生量</w:t>
      </w:r>
      <w:r>
        <w:rPr>
          <w:sz w:val="28"/>
        </w:rPr>
        <w:t>0.91</w:t>
      </w:r>
      <w:r>
        <w:rPr>
          <w:rFonts w:hint="eastAsia"/>
          <w:sz w:val="28"/>
        </w:rPr>
        <w:t>万吨，产废单位数量为</w:t>
      </w:r>
      <w:r>
        <w:rPr>
          <w:rFonts w:hint="eastAsia"/>
          <w:sz w:val="28"/>
        </w:rPr>
        <w:t>7966</w:t>
      </w:r>
      <w:r>
        <w:rPr>
          <w:rFonts w:hint="eastAsia"/>
          <w:sz w:val="28"/>
        </w:rPr>
        <w:t>家。</w:t>
      </w:r>
    </w:p>
    <w:p w:rsidR="005A1ADB" w:rsidRDefault="000B6ECF">
      <w:pPr>
        <w:widowControl/>
        <w:spacing w:after="120" w:line="300" w:lineRule="auto"/>
        <w:ind w:firstLineChars="200" w:firstLine="560"/>
        <w:rPr>
          <w:sz w:val="28"/>
        </w:rPr>
      </w:pPr>
      <w:r>
        <w:rPr>
          <w:rFonts w:hint="eastAsia"/>
          <w:sz w:val="28"/>
        </w:rPr>
        <w:t>2020</w:t>
      </w:r>
      <w:r>
        <w:rPr>
          <w:rFonts w:hint="eastAsia"/>
          <w:sz w:val="28"/>
        </w:rPr>
        <w:t>年长春市产生的工业危险废物共包括</w:t>
      </w:r>
      <w:r>
        <w:rPr>
          <w:rFonts w:hint="eastAsia"/>
          <w:sz w:val="28"/>
        </w:rPr>
        <w:t>29</w:t>
      </w:r>
      <w:r>
        <w:rPr>
          <w:rFonts w:hint="eastAsia"/>
          <w:sz w:val="28"/>
        </w:rPr>
        <w:t>个类别，占比最高的</w:t>
      </w:r>
      <w:r>
        <w:rPr>
          <w:rFonts w:hint="eastAsia"/>
          <w:sz w:val="28"/>
        </w:rPr>
        <w:t>5</w:t>
      </w:r>
      <w:r>
        <w:rPr>
          <w:rFonts w:hint="eastAsia"/>
          <w:sz w:val="28"/>
        </w:rPr>
        <w:t>大类别为</w:t>
      </w:r>
      <w:r>
        <w:rPr>
          <w:rFonts w:hint="eastAsia"/>
          <w:sz w:val="28"/>
        </w:rPr>
        <w:t>HW49</w:t>
      </w:r>
      <w:r>
        <w:rPr>
          <w:rFonts w:hint="eastAsia"/>
          <w:sz w:val="28"/>
        </w:rPr>
        <w:t>（其他废物）、</w:t>
      </w:r>
      <w:r>
        <w:rPr>
          <w:rFonts w:hint="eastAsia"/>
          <w:sz w:val="28"/>
        </w:rPr>
        <w:t>HW12</w:t>
      </w:r>
      <w:r>
        <w:rPr>
          <w:rFonts w:hint="eastAsia"/>
          <w:sz w:val="28"/>
        </w:rPr>
        <w:t>（染料、涂料废物）、</w:t>
      </w:r>
      <w:r>
        <w:rPr>
          <w:rFonts w:hint="eastAsia"/>
          <w:sz w:val="28"/>
        </w:rPr>
        <w:t>HW09</w:t>
      </w:r>
      <w:r>
        <w:rPr>
          <w:rFonts w:hint="eastAsia"/>
          <w:sz w:val="28"/>
        </w:rPr>
        <w:t>（油</w:t>
      </w:r>
      <w:r>
        <w:rPr>
          <w:rFonts w:hint="eastAsia"/>
          <w:sz w:val="28"/>
        </w:rPr>
        <w:t>/</w:t>
      </w:r>
      <w:r>
        <w:rPr>
          <w:rFonts w:hint="eastAsia"/>
          <w:sz w:val="28"/>
        </w:rPr>
        <w:t>水、烃</w:t>
      </w:r>
      <w:r>
        <w:rPr>
          <w:rFonts w:hint="eastAsia"/>
          <w:sz w:val="28"/>
        </w:rPr>
        <w:t>/</w:t>
      </w:r>
      <w:r>
        <w:rPr>
          <w:rFonts w:hint="eastAsia"/>
          <w:sz w:val="28"/>
        </w:rPr>
        <w:t>水混合物或乳化液）</w:t>
      </w:r>
      <w:r>
        <w:rPr>
          <w:rFonts w:hint="eastAsia"/>
          <w:sz w:val="28"/>
        </w:rPr>
        <w:t>、</w:t>
      </w:r>
      <w:r>
        <w:rPr>
          <w:rFonts w:hint="eastAsia"/>
          <w:sz w:val="28"/>
        </w:rPr>
        <w:t>HW17</w:t>
      </w:r>
      <w:r>
        <w:rPr>
          <w:rFonts w:hint="eastAsia"/>
          <w:sz w:val="28"/>
        </w:rPr>
        <w:t>（表面处理废物）和</w:t>
      </w:r>
      <w:r>
        <w:rPr>
          <w:rFonts w:hint="eastAsia"/>
          <w:sz w:val="28"/>
        </w:rPr>
        <w:t>HW06</w:t>
      </w:r>
      <w:r>
        <w:rPr>
          <w:rFonts w:hint="eastAsia"/>
          <w:sz w:val="28"/>
        </w:rPr>
        <w:lastRenderedPageBreak/>
        <w:t>（废有机溶剂与含有机溶剂废物），合计占市域危险废物总产生量的</w:t>
      </w:r>
      <w:r>
        <w:rPr>
          <w:rFonts w:hint="eastAsia"/>
          <w:sz w:val="28"/>
        </w:rPr>
        <w:t>83.8%</w:t>
      </w:r>
      <w:r>
        <w:rPr>
          <w:rFonts w:hint="eastAsia"/>
          <w:sz w:val="28"/>
        </w:rPr>
        <w:t>；其中，</w:t>
      </w:r>
      <w:r>
        <w:rPr>
          <w:rFonts w:hint="eastAsia"/>
          <w:sz w:val="28"/>
        </w:rPr>
        <w:t>HW49</w:t>
      </w:r>
      <w:r>
        <w:rPr>
          <w:rFonts w:hint="eastAsia"/>
          <w:sz w:val="28"/>
        </w:rPr>
        <w:t>、</w:t>
      </w:r>
      <w:r>
        <w:rPr>
          <w:rFonts w:hint="eastAsia"/>
          <w:sz w:val="28"/>
        </w:rPr>
        <w:t>HW12</w:t>
      </w:r>
      <w:r>
        <w:rPr>
          <w:rFonts w:hint="eastAsia"/>
          <w:sz w:val="28"/>
        </w:rPr>
        <w:t>、</w:t>
      </w:r>
      <w:r>
        <w:rPr>
          <w:rFonts w:hint="eastAsia"/>
          <w:sz w:val="28"/>
        </w:rPr>
        <w:t>HW09</w:t>
      </w:r>
      <w:r>
        <w:rPr>
          <w:rFonts w:hint="eastAsia"/>
          <w:sz w:val="28"/>
        </w:rPr>
        <w:t>、</w:t>
      </w:r>
      <w:r>
        <w:rPr>
          <w:rFonts w:hint="eastAsia"/>
          <w:sz w:val="28"/>
        </w:rPr>
        <w:t>HW17</w:t>
      </w:r>
      <w:r>
        <w:rPr>
          <w:rFonts w:hint="eastAsia"/>
          <w:sz w:val="28"/>
        </w:rPr>
        <w:t>和</w:t>
      </w:r>
      <w:r>
        <w:rPr>
          <w:rFonts w:hint="eastAsia"/>
          <w:sz w:val="28"/>
        </w:rPr>
        <w:t>HW06</w:t>
      </w:r>
      <w:r>
        <w:rPr>
          <w:rFonts w:hint="eastAsia"/>
          <w:sz w:val="28"/>
        </w:rPr>
        <w:t>占比分别为</w:t>
      </w:r>
      <w:r>
        <w:rPr>
          <w:rFonts w:hint="eastAsia"/>
          <w:sz w:val="28"/>
        </w:rPr>
        <w:t>33.3%</w:t>
      </w:r>
      <w:r>
        <w:rPr>
          <w:rFonts w:hint="eastAsia"/>
          <w:sz w:val="28"/>
        </w:rPr>
        <w:t>、</w:t>
      </w:r>
      <w:r>
        <w:rPr>
          <w:rFonts w:hint="eastAsia"/>
          <w:sz w:val="28"/>
        </w:rPr>
        <w:t>21.8%</w:t>
      </w:r>
      <w:r>
        <w:rPr>
          <w:rFonts w:hint="eastAsia"/>
          <w:sz w:val="28"/>
        </w:rPr>
        <w:t>、</w:t>
      </w:r>
      <w:r>
        <w:rPr>
          <w:rFonts w:hint="eastAsia"/>
          <w:sz w:val="28"/>
        </w:rPr>
        <w:t>12.4%</w:t>
      </w:r>
      <w:r>
        <w:rPr>
          <w:rFonts w:hint="eastAsia"/>
          <w:sz w:val="28"/>
        </w:rPr>
        <w:t>、</w:t>
      </w:r>
      <w:r>
        <w:rPr>
          <w:rFonts w:hint="eastAsia"/>
          <w:sz w:val="28"/>
        </w:rPr>
        <w:t>8.8%</w:t>
      </w:r>
      <w:r>
        <w:rPr>
          <w:rFonts w:hint="eastAsia"/>
          <w:sz w:val="28"/>
        </w:rPr>
        <w:t>和</w:t>
      </w:r>
      <w:r>
        <w:rPr>
          <w:rFonts w:hint="eastAsia"/>
          <w:sz w:val="28"/>
        </w:rPr>
        <w:t>7.6%</w:t>
      </w:r>
      <w:r>
        <w:rPr>
          <w:rFonts w:hint="eastAsia"/>
          <w:sz w:val="28"/>
        </w:rPr>
        <w:t>。</w:t>
      </w:r>
    </w:p>
    <w:p w:rsidR="005A1ADB" w:rsidRDefault="000B6ECF">
      <w:pPr>
        <w:widowControl/>
        <w:spacing w:after="120" w:line="300" w:lineRule="auto"/>
        <w:ind w:firstLineChars="200" w:firstLine="420"/>
        <w:jc w:val="center"/>
      </w:pPr>
      <w:r>
        <w:rPr>
          <w:noProof/>
        </w:rPr>
        <w:drawing>
          <wp:inline distT="0" distB="0" distL="114300" distR="114300">
            <wp:extent cx="3528060" cy="2294890"/>
            <wp:effectExtent l="4445" t="4445" r="10795" b="12065"/>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1ADB" w:rsidRDefault="000B6ECF">
      <w:pPr>
        <w:pStyle w:val="a4"/>
        <w:widowControl/>
        <w:spacing w:after="120" w:line="300" w:lineRule="auto"/>
        <w:ind w:firstLineChars="200" w:firstLine="400"/>
        <w:jc w:val="center"/>
      </w:pPr>
      <w:r>
        <w:t>图</w:t>
      </w:r>
      <w:r>
        <w:t xml:space="preserve"> </w:t>
      </w:r>
      <w:r w:rsidR="005A1ADB">
        <w:fldChar w:fldCharType="begin"/>
      </w:r>
      <w:r>
        <w:instrText xml:space="preserve"> SEQ </w:instrText>
      </w:r>
      <w:r>
        <w:instrText>图</w:instrText>
      </w:r>
      <w:r>
        <w:instrText xml:space="preserve"> \* ARABIC </w:instrText>
      </w:r>
      <w:r w:rsidR="005A1ADB">
        <w:fldChar w:fldCharType="separate"/>
      </w:r>
      <w:r>
        <w:t>9</w:t>
      </w:r>
      <w:r w:rsidR="005A1ADB">
        <w:fldChar w:fldCharType="end"/>
      </w:r>
      <w:r>
        <w:rPr>
          <w:rFonts w:hint="eastAsia"/>
        </w:rPr>
        <w:tab/>
      </w:r>
      <w:r>
        <w:rPr>
          <w:rFonts w:hint="eastAsia"/>
        </w:rPr>
        <w:tab/>
        <w:t>2020</w:t>
      </w:r>
      <w:r>
        <w:rPr>
          <w:rFonts w:hint="eastAsia"/>
        </w:rPr>
        <w:t>年长春市工业危险废物产生量构成</w:t>
      </w:r>
    </w:p>
    <w:p w:rsidR="005A1ADB" w:rsidRDefault="000B6ECF">
      <w:pPr>
        <w:widowControl/>
        <w:spacing w:after="120" w:line="300" w:lineRule="auto"/>
        <w:ind w:firstLineChars="200" w:firstLine="560"/>
        <w:rPr>
          <w:sz w:val="28"/>
        </w:rPr>
      </w:pPr>
      <w:r>
        <w:rPr>
          <w:rFonts w:hint="eastAsia"/>
          <w:sz w:val="28"/>
        </w:rPr>
        <w:t>长春市工业危险废物产生量的结构与城市产业结构高度相关，</w:t>
      </w:r>
      <w:r>
        <w:rPr>
          <w:rFonts w:hint="eastAsia"/>
          <w:sz w:val="28"/>
        </w:rPr>
        <w:t>2020</w:t>
      </w:r>
      <w:r>
        <w:rPr>
          <w:rFonts w:hint="eastAsia"/>
          <w:sz w:val="28"/>
        </w:rPr>
        <w:t>年长春市工业危险废物产生量前五位的企业，其危险废物产生量占到全市工业危险废物总产生量的近</w:t>
      </w:r>
      <w:r>
        <w:rPr>
          <w:rFonts w:hint="eastAsia"/>
          <w:sz w:val="28"/>
        </w:rPr>
        <w:t>1/3</w:t>
      </w:r>
      <w:r>
        <w:rPr>
          <w:rFonts w:hint="eastAsia"/>
          <w:sz w:val="28"/>
        </w:rPr>
        <w:t>（</w:t>
      </w:r>
      <w:r>
        <w:rPr>
          <w:rFonts w:hint="eastAsia"/>
          <w:sz w:val="28"/>
        </w:rPr>
        <w:t>32.3%</w:t>
      </w:r>
      <w:r>
        <w:rPr>
          <w:rFonts w:hint="eastAsia"/>
          <w:sz w:val="28"/>
        </w:rPr>
        <w:t>）。其中，四家单位为</w:t>
      </w:r>
      <w:r>
        <w:rPr>
          <w:rFonts w:hint="eastAsia"/>
          <w:sz w:val="28"/>
        </w:rPr>
        <w:t>一汽集团企业，产生量占比约为</w:t>
      </w:r>
      <w:r>
        <w:rPr>
          <w:rFonts w:hint="eastAsia"/>
          <w:sz w:val="28"/>
        </w:rPr>
        <w:t>24.1%</w:t>
      </w:r>
      <w:r>
        <w:rPr>
          <w:rFonts w:hint="eastAsia"/>
          <w:sz w:val="28"/>
        </w:rPr>
        <w:t>，且产生的危险废物种类相似，主要为</w:t>
      </w:r>
      <w:r>
        <w:rPr>
          <w:rFonts w:hint="eastAsia"/>
          <w:sz w:val="28"/>
        </w:rPr>
        <w:t>HW06</w:t>
      </w:r>
      <w:r>
        <w:rPr>
          <w:rFonts w:hint="eastAsia"/>
          <w:sz w:val="28"/>
        </w:rPr>
        <w:t>（废有机溶剂与含有机溶剂废物）、</w:t>
      </w:r>
      <w:r>
        <w:rPr>
          <w:rFonts w:hint="eastAsia"/>
          <w:sz w:val="28"/>
        </w:rPr>
        <w:t>HW08</w:t>
      </w:r>
      <w:r>
        <w:rPr>
          <w:rFonts w:hint="eastAsia"/>
          <w:sz w:val="28"/>
        </w:rPr>
        <w:t>（废矿物油与含矿物油废物）、</w:t>
      </w:r>
      <w:r>
        <w:rPr>
          <w:rFonts w:hint="eastAsia"/>
          <w:sz w:val="28"/>
        </w:rPr>
        <w:t>HW12</w:t>
      </w:r>
      <w:r>
        <w:rPr>
          <w:rFonts w:hint="eastAsia"/>
          <w:sz w:val="28"/>
        </w:rPr>
        <w:t>（染料、涂料废物）、</w:t>
      </w:r>
      <w:r>
        <w:rPr>
          <w:rFonts w:hint="eastAsia"/>
          <w:sz w:val="28"/>
        </w:rPr>
        <w:t>HW17</w:t>
      </w:r>
      <w:r>
        <w:rPr>
          <w:rFonts w:hint="eastAsia"/>
          <w:sz w:val="28"/>
        </w:rPr>
        <w:t>（表面处理废物）和</w:t>
      </w:r>
      <w:r>
        <w:rPr>
          <w:rFonts w:hint="eastAsia"/>
          <w:sz w:val="28"/>
        </w:rPr>
        <w:t>HW49</w:t>
      </w:r>
      <w:r>
        <w:rPr>
          <w:rFonts w:hint="eastAsia"/>
          <w:sz w:val="28"/>
        </w:rPr>
        <w:t>（其他废物）等。</w:t>
      </w:r>
    </w:p>
    <w:p w:rsidR="005A1ADB" w:rsidRDefault="000B6ECF">
      <w:pPr>
        <w:widowControl/>
        <w:spacing w:after="120" w:line="300" w:lineRule="auto"/>
        <w:ind w:firstLineChars="200" w:firstLine="560"/>
        <w:rPr>
          <w:sz w:val="28"/>
        </w:rPr>
      </w:pPr>
      <w:r>
        <w:rPr>
          <w:rFonts w:hint="eastAsia"/>
          <w:sz w:val="28"/>
        </w:rPr>
        <w:t>长春市工业危废的产生量分布与长春市的产业布局相符合，主要分布在以绿园区和汽开区为主的西部产业廊道及经开区。</w:t>
      </w:r>
      <w:r>
        <w:rPr>
          <w:rFonts w:hint="eastAsia"/>
          <w:sz w:val="28"/>
        </w:rPr>
        <w:t>2020</w:t>
      </w:r>
      <w:r>
        <w:rPr>
          <w:rFonts w:hint="eastAsia"/>
          <w:sz w:val="28"/>
        </w:rPr>
        <w:t>年长春市工业危废产生量空间分布较为集中，其中绿园区和汽开区的产生量之和约占长春市工业危废总产生量的</w:t>
      </w:r>
      <w:r>
        <w:rPr>
          <w:rFonts w:hint="eastAsia"/>
          <w:sz w:val="28"/>
        </w:rPr>
        <w:t>60.9%</w:t>
      </w:r>
      <w:r>
        <w:rPr>
          <w:rFonts w:hint="eastAsia"/>
          <w:sz w:val="28"/>
        </w:rPr>
        <w:t>；其次为经开区、长春新区和朝阳区，工业危废产生量约占长春市工业</w:t>
      </w:r>
      <w:r>
        <w:rPr>
          <w:rFonts w:hint="eastAsia"/>
          <w:sz w:val="28"/>
        </w:rPr>
        <w:t>危废总产生量的</w:t>
      </w:r>
      <w:r>
        <w:rPr>
          <w:rFonts w:hint="eastAsia"/>
          <w:sz w:val="28"/>
        </w:rPr>
        <w:lastRenderedPageBreak/>
        <w:t>28.5%</w:t>
      </w:r>
      <w:r>
        <w:rPr>
          <w:rFonts w:hint="eastAsia"/>
          <w:sz w:val="28"/>
        </w:rPr>
        <w:t>；二道区等其它区域的工业危废产生量均低于长春市工业危废总产生量的</w:t>
      </w:r>
      <w:r>
        <w:rPr>
          <w:rFonts w:hint="eastAsia"/>
          <w:sz w:val="28"/>
        </w:rPr>
        <w:t>3%</w:t>
      </w:r>
      <w:r>
        <w:rPr>
          <w:rFonts w:hint="eastAsia"/>
          <w:sz w:val="28"/>
        </w:rPr>
        <w:t>。</w:t>
      </w:r>
    </w:p>
    <w:p w:rsidR="005A1ADB" w:rsidRDefault="000B6ECF">
      <w:pPr>
        <w:widowControl/>
        <w:spacing w:after="120" w:line="300" w:lineRule="auto"/>
        <w:ind w:firstLineChars="200" w:firstLine="560"/>
        <w:rPr>
          <w:rStyle w:val="af1"/>
          <w:rFonts w:ascii="Times New Roman" w:eastAsia="宋体" w:hAnsi="Times New Roman" w:cs="Times New Roman"/>
        </w:rPr>
      </w:pPr>
      <w:r>
        <w:rPr>
          <w:rFonts w:hint="eastAsia"/>
          <w:sz w:val="28"/>
        </w:rPr>
        <w:t>在危险废物收集转移方面，长春市工业危险废物的收集、贮存和运输均由具备危险废物经营许可证的单位进行，按照《危险废物收集贮存运输技术规范》（</w:t>
      </w:r>
      <w:r>
        <w:rPr>
          <w:rFonts w:hint="eastAsia"/>
          <w:sz w:val="28"/>
        </w:rPr>
        <w:t>HJ 2025-2012</w:t>
      </w:r>
      <w:r>
        <w:rPr>
          <w:rFonts w:hint="eastAsia"/>
          <w:sz w:val="28"/>
        </w:rPr>
        <w:t>）要求进行管理，工业危险废物转移过程全部按《危险废物转移联单管理办法》执行；在医疗废物收集方面，长春市产生的医疗废物（除公主岭市</w:t>
      </w:r>
      <w:r>
        <w:rPr>
          <w:rFonts w:hint="eastAsia"/>
          <w:sz w:val="28"/>
        </w:rPr>
        <w:t>1</w:t>
      </w:r>
      <w:r>
        <w:rPr>
          <w:rFonts w:hint="eastAsia"/>
          <w:sz w:val="28"/>
        </w:rPr>
        <w:t>家医院由四平市医疗废物经营单位收集以外）均由长春市的医疗废物集中处置单位进行收集处置。</w:t>
      </w:r>
      <w:r>
        <w:rPr>
          <w:rFonts w:hint="eastAsia"/>
          <w:sz w:val="28"/>
        </w:rPr>
        <w:t>2020</w:t>
      </w:r>
      <w:r>
        <w:rPr>
          <w:rFonts w:hint="eastAsia"/>
          <w:sz w:val="28"/>
        </w:rPr>
        <w:t>年长春市全年共产生危险废物转移联</w:t>
      </w:r>
      <w:r>
        <w:rPr>
          <w:rFonts w:hint="eastAsia"/>
          <w:sz w:val="28"/>
        </w:rPr>
        <w:t>单</w:t>
      </w:r>
      <w:r>
        <w:rPr>
          <w:rFonts w:hint="eastAsia"/>
          <w:sz w:val="28"/>
        </w:rPr>
        <w:t>48931</w:t>
      </w:r>
      <w:r>
        <w:rPr>
          <w:rFonts w:hint="eastAsia"/>
          <w:sz w:val="28"/>
        </w:rPr>
        <w:t>份，共转移危险废物</w:t>
      </w:r>
      <w:r>
        <w:rPr>
          <w:rFonts w:hint="eastAsia"/>
          <w:sz w:val="28"/>
        </w:rPr>
        <w:t>19.85</w:t>
      </w:r>
      <w:r>
        <w:rPr>
          <w:rFonts w:hint="eastAsia"/>
          <w:sz w:val="28"/>
        </w:rPr>
        <w:t>万吨（废桶</w:t>
      </w:r>
      <w:r>
        <w:rPr>
          <w:rFonts w:hint="eastAsia"/>
          <w:sz w:val="28"/>
        </w:rPr>
        <w:t>18.60</w:t>
      </w:r>
      <w:r>
        <w:rPr>
          <w:rFonts w:hint="eastAsia"/>
          <w:sz w:val="28"/>
        </w:rPr>
        <w:t>万只），其中，工业危险废物</w:t>
      </w:r>
      <w:r>
        <w:rPr>
          <w:rFonts w:hint="eastAsia"/>
          <w:sz w:val="28"/>
        </w:rPr>
        <w:t>18.94</w:t>
      </w:r>
      <w:r>
        <w:rPr>
          <w:rFonts w:hint="eastAsia"/>
          <w:sz w:val="28"/>
        </w:rPr>
        <w:t>万吨（废桶</w:t>
      </w:r>
      <w:r>
        <w:rPr>
          <w:rFonts w:hint="eastAsia"/>
          <w:sz w:val="28"/>
        </w:rPr>
        <w:t>18.60</w:t>
      </w:r>
      <w:r>
        <w:rPr>
          <w:rFonts w:hint="eastAsia"/>
          <w:sz w:val="28"/>
        </w:rPr>
        <w:t>万只），医疗废物</w:t>
      </w:r>
      <w:r>
        <w:rPr>
          <w:sz w:val="28"/>
        </w:rPr>
        <w:t>0.91</w:t>
      </w:r>
      <w:r>
        <w:rPr>
          <w:rFonts w:hint="eastAsia"/>
          <w:sz w:val="28"/>
        </w:rPr>
        <w:t>万吨</w:t>
      </w:r>
      <w:r>
        <w:rPr>
          <w:rStyle w:val="af1"/>
          <w:rFonts w:ascii="Times New Roman" w:eastAsia="宋体" w:hAnsi="Times New Roman" w:cs="Times New Roman" w:hint="eastAsia"/>
        </w:rPr>
        <w:t>。</w:t>
      </w:r>
    </w:p>
    <w:p w:rsidR="005A1ADB" w:rsidRDefault="000B6ECF">
      <w:pPr>
        <w:pStyle w:val="5"/>
        <w:rPr>
          <w:rFonts w:ascii="宋体" w:eastAsia="宋体" w:hAnsi="宋体" w:cs="宋体"/>
        </w:rPr>
      </w:pPr>
      <w:r>
        <w:rPr>
          <w:rFonts w:ascii="宋体" w:eastAsia="宋体" w:hAnsi="宋体" w:cs="宋体" w:hint="eastAsia"/>
        </w:rPr>
        <w:t>2.2.5.2</w:t>
      </w:r>
      <w:r>
        <w:rPr>
          <w:rFonts w:ascii="宋体" w:eastAsia="宋体" w:hAnsi="宋体" w:cs="宋体" w:hint="eastAsia"/>
        </w:rPr>
        <w:t>危险废物利用处置现状</w:t>
      </w:r>
    </w:p>
    <w:p w:rsidR="005A1ADB" w:rsidRDefault="000B6ECF">
      <w:pPr>
        <w:widowControl/>
        <w:spacing w:after="120" w:line="300" w:lineRule="auto"/>
        <w:ind w:firstLine="561"/>
        <w:rPr>
          <w:sz w:val="28"/>
        </w:rPr>
      </w:pPr>
      <w:r>
        <w:rPr>
          <w:rFonts w:hint="eastAsia"/>
          <w:sz w:val="28"/>
        </w:rPr>
        <w:t>在危险废物利用处置方面，</w:t>
      </w:r>
      <w:r>
        <w:rPr>
          <w:rFonts w:hint="eastAsia"/>
          <w:sz w:val="28"/>
        </w:rPr>
        <w:t>2020</w:t>
      </w:r>
      <w:r>
        <w:rPr>
          <w:rFonts w:hint="eastAsia"/>
          <w:sz w:val="28"/>
        </w:rPr>
        <w:t>年长春市共利用处置工业危险废物</w:t>
      </w:r>
      <w:r>
        <w:rPr>
          <w:sz w:val="28"/>
        </w:rPr>
        <w:t>17.41</w:t>
      </w:r>
      <w:r>
        <w:rPr>
          <w:rFonts w:hint="eastAsia"/>
          <w:sz w:val="28"/>
        </w:rPr>
        <w:t>万吨，利用处置方式包括利用（</w:t>
      </w:r>
      <w:r>
        <w:rPr>
          <w:rFonts w:hint="eastAsia"/>
          <w:sz w:val="28"/>
        </w:rPr>
        <w:t>52.5%</w:t>
      </w:r>
      <w:r>
        <w:rPr>
          <w:rFonts w:hint="eastAsia"/>
          <w:sz w:val="28"/>
        </w:rPr>
        <w:t>）、物理化学处理（</w:t>
      </w:r>
      <w:r>
        <w:rPr>
          <w:rFonts w:hint="eastAsia"/>
          <w:sz w:val="28"/>
        </w:rPr>
        <w:t>22.3%</w:t>
      </w:r>
      <w:r>
        <w:rPr>
          <w:rFonts w:hint="eastAsia"/>
          <w:sz w:val="28"/>
        </w:rPr>
        <w:t>）、焚烧（</w:t>
      </w:r>
      <w:r>
        <w:rPr>
          <w:rFonts w:hint="eastAsia"/>
          <w:sz w:val="28"/>
        </w:rPr>
        <w:t>11.1%</w:t>
      </w:r>
      <w:r>
        <w:rPr>
          <w:rFonts w:hint="eastAsia"/>
          <w:sz w:val="28"/>
        </w:rPr>
        <w:t>）、贮存（</w:t>
      </w:r>
      <w:r>
        <w:rPr>
          <w:rFonts w:hint="eastAsia"/>
          <w:sz w:val="28"/>
        </w:rPr>
        <w:t>7.2%</w:t>
      </w:r>
      <w:r>
        <w:rPr>
          <w:rFonts w:hint="eastAsia"/>
          <w:sz w:val="28"/>
        </w:rPr>
        <w:t>）、水泥窑共处置（</w:t>
      </w:r>
      <w:r>
        <w:rPr>
          <w:rFonts w:hint="eastAsia"/>
          <w:sz w:val="28"/>
        </w:rPr>
        <w:t>4.6%</w:t>
      </w:r>
      <w:r>
        <w:rPr>
          <w:rFonts w:hint="eastAsia"/>
          <w:sz w:val="28"/>
        </w:rPr>
        <w:t>）和其他处置方式（</w:t>
      </w:r>
      <w:r>
        <w:rPr>
          <w:rFonts w:hint="eastAsia"/>
          <w:sz w:val="28"/>
        </w:rPr>
        <w:t>2.3%</w:t>
      </w:r>
      <w:r>
        <w:rPr>
          <w:rFonts w:hint="eastAsia"/>
          <w:sz w:val="28"/>
        </w:rPr>
        <w:t>）等。其中，实际综合利用工业危险废物共</w:t>
      </w:r>
      <w:r>
        <w:rPr>
          <w:rFonts w:hint="eastAsia"/>
          <w:sz w:val="28"/>
        </w:rPr>
        <w:t>9.14</w:t>
      </w:r>
      <w:r>
        <w:rPr>
          <w:rFonts w:hint="eastAsia"/>
          <w:sz w:val="28"/>
        </w:rPr>
        <w:t>万吨，工业危险废物综合利用率为</w:t>
      </w:r>
      <w:r>
        <w:rPr>
          <w:rFonts w:hint="eastAsia"/>
          <w:sz w:val="28"/>
        </w:rPr>
        <w:t>51.2%</w:t>
      </w:r>
      <w:r>
        <w:rPr>
          <w:rFonts w:hint="eastAsia"/>
          <w:sz w:val="28"/>
        </w:rPr>
        <w:t>。处置废桶</w:t>
      </w:r>
      <w:r>
        <w:rPr>
          <w:rFonts w:hint="eastAsia"/>
          <w:sz w:val="28"/>
        </w:rPr>
        <w:t>18.40</w:t>
      </w:r>
      <w:r>
        <w:rPr>
          <w:rFonts w:hint="eastAsia"/>
          <w:sz w:val="28"/>
        </w:rPr>
        <w:t>万只，处置方式全部为清洗。长春市共处置医疗废物</w:t>
      </w:r>
      <w:r>
        <w:rPr>
          <w:sz w:val="28"/>
        </w:rPr>
        <w:t>0.91</w:t>
      </w:r>
      <w:r>
        <w:rPr>
          <w:rFonts w:hint="eastAsia"/>
          <w:sz w:val="28"/>
        </w:rPr>
        <w:t>万吨，处置方式包括焚烧（</w:t>
      </w:r>
      <w:r>
        <w:rPr>
          <w:rFonts w:hint="eastAsia"/>
          <w:sz w:val="28"/>
        </w:rPr>
        <w:t>95.8%</w:t>
      </w:r>
      <w:r>
        <w:rPr>
          <w:rFonts w:hint="eastAsia"/>
          <w:sz w:val="28"/>
        </w:rPr>
        <w:t>）和高温蒸煮（</w:t>
      </w:r>
      <w:r>
        <w:rPr>
          <w:rFonts w:hint="eastAsia"/>
          <w:sz w:val="28"/>
        </w:rPr>
        <w:t>4.2%</w:t>
      </w:r>
      <w:r>
        <w:rPr>
          <w:rFonts w:hint="eastAsia"/>
          <w:sz w:val="28"/>
        </w:rPr>
        <w:t>）。</w:t>
      </w:r>
    </w:p>
    <w:p w:rsidR="005A1ADB" w:rsidRDefault="000B6ECF">
      <w:pPr>
        <w:widowControl/>
        <w:spacing w:after="120" w:line="300" w:lineRule="auto"/>
        <w:ind w:firstLine="561"/>
        <w:jc w:val="center"/>
      </w:pPr>
      <w:r>
        <w:rPr>
          <w:noProof/>
        </w:rPr>
        <w:lastRenderedPageBreak/>
        <w:drawing>
          <wp:inline distT="0" distB="0" distL="114300" distR="114300">
            <wp:extent cx="3381375" cy="2258060"/>
            <wp:effectExtent l="4445" t="4445" r="5080"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1ADB" w:rsidRDefault="000B6ECF">
      <w:pPr>
        <w:pStyle w:val="a4"/>
        <w:widowControl/>
        <w:spacing w:after="120" w:line="300" w:lineRule="auto"/>
        <w:ind w:firstLineChars="200" w:firstLine="400"/>
        <w:jc w:val="center"/>
      </w:pPr>
      <w:r>
        <w:t>图</w:t>
      </w:r>
      <w:r>
        <w:t xml:space="preserve"> </w:t>
      </w:r>
      <w:r w:rsidR="005A1ADB">
        <w:fldChar w:fldCharType="begin"/>
      </w:r>
      <w:r>
        <w:instrText xml:space="preserve"> SEQ </w:instrText>
      </w:r>
      <w:r>
        <w:instrText>图</w:instrText>
      </w:r>
      <w:r>
        <w:instrText xml:space="preserve"> \* ARABIC </w:instrText>
      </w:r>
      <w:r w:rsidR="005A1ADB">
        <w:fldChar w:fldCharType="separate"/>
      </w:r>
      <w:r>
        <w:t>10</w:t>
      </w:r>
      <w:r w:rsidR="005A1ADB">
        <w:fldChar w:fldCharType="end"/>
      </w:r>
      <w:r>
        <w:rPr>
          <w:rFonts w:hint="eastAsia"/>
        </w:rPr>
        <w:tab/>
        <w:t>2020</w:t>
      </w:r>
      <w:r>
        <w:rPr>
          <w:rFonts w:hint="eastAsia"/>
        </w:rPr>
        <w:t>年长春市工业危险废物利用处置方式构成</w:t>
      </w:r>
    </w:p>
    <w:p w:rsidR="005A1ADB" w:rsidRDefault="000B6ECF">
      <w:pPr>
        <w:widowControl/>
        <w:spacing w:after="120" w:line="300" w:lineRule="auto"/>
        <w:ind w:firstLineChars="200" w:firstLine="560"/>
        <w:jc w:val="left"/>
        <w:rPr>
          <w:sz w:val="28"/>
        </w:rPr>
      </w:pPr>
      <w:r>
        <w:rPr>
          <w:rFonts w:hint="eastAsia"/>
          <w:sz w:val="28"/>
        </w:rPr>
        <w:t>在危险废物相关产业发展方面，</w:t>
      </w:r>
      <w:r>
        <w:rPr>
          <w:rFonts w:hint="eastAsia"/>
          <w:sz w:val="28"/>
        </w:rPr>
        <w:t>202</w:t>
      </w:r>
      <w:r>
        <w:rPr>
          <w:rFonts w:hint="eastAsia"/>
          <w:sz w:val="28"/>
        </w:rPr>
        <w:t>0</w:t>
      </w:r>
      <w:r>
        <w:rPr>
          <w:rFonts w:hint="eastAsia"/>
          <w:sz w:val="28"/>
        </w:rPr>
        <w:t>年长春市共有危险废物经营单位</w:t>
      </w:r>
      <w:r>
        <w:rPr>
          <w:rFonts w:hint="eastAsia"/>
          <w:sz w:val="28"/>
        </w:rPr>
        <w:t>41</w:t>
      </w:r>
      <w:r>
        <w:rPr>
          <w:rFonts w:hint="eastAsia"/>
          <w:sz w:val="28"/>
        </w:rPr>
        <w:t>家，经营单位总核准能力约</w:t>
      </w:r>
      <w:r>
        <w:rPr>
          <w:rFonts w:hint="eastAsia"/>
          <w:sz w:val="28"/>
        </w:rPr>
        <w:t>102.13</w:t>
      </w:r>
      <w:r>
        <w:rPr>
          <w:rFonts w:hint="eastAsia"/>
          <w:sz w:val="28"/>
        </w:rPr>
        <w:t>万吨（废桶</w:t>
      </w:r>
      <w:r>
        <w:rPr>
          <w:rFonts w:hint="eastAsia"/>
          <w:sz w:val="28"/>
        </w:rPr>
        <w:t>1367.5</w:t>
      </w:r>
      <w:r>
        <w:rPr>
          <w:rFonts w:hint="eastAsia"/>
          <w:sz w:val="28"/>
        </w:rPr>
        <w:t>万只）。其中，医疗废物集中处置单位</w:t>
      </w:r>
      <w:r>
        <w:rPr>
          <w:rFonts w:hint="eastAsia"/>
          <w:sz w:val="28"/>
        </w:rPr>
        <w:t>4</w:t>
      </w:r>
      <w:r>
        <w:rPr>
          <w:rFonts w:hint="eastAsia"/>
          <w:sz w:val="28"/>
        </w:rPr>
        <w:t>家，核准经营总处置能力为</w:t>
      </w:r>
      <w:r>
        <w:rPr>
          <w:rFonts w:hint="eastAsia"/>
          <w:sz w:val="28"/>
        </w:rPr>
        <w:t>2.54</w:t>
      </w:r>
      <w:r>
        <w:rPr>
          <w:rFonts w:hint="eastAsia"/>
          <w:sz w:val="28"/>
        </w:rPr>
        <w:t>万吨。具有焚烧处置能力的经营单位</w:t>
      </w:r>
      <w:r>
        <w:rPr>
          <w:rFonts w:hint="eastAsia"/>
          <w:sz w:val="28"/>
        </w:rPr>
        <w:t>4</w:t>
      </w:r>
      <w:r>
        <w:rPr>
          <w:rFonts w:hint="eastAsia"/>
          <w:sz w:val="28"/>
        </w:rPr>
        <w:t>家，总焚烧能力</w:t>
      </w:r>
      <w:r>
        <w:rPr>
          <w:rFonts w:hint="eastAsia"/>
          <w:sz w:val="28"/>
        </w:rPr>
        <w:t>5.07</w:t>
      </w:r>
      <w:r>
        <w:rPr>
          <w:rFonts w:hint="eastAsia"/>
          <w:sz w:val="28"/>
        </w:rPr>
        <w:t>万吨，其中医疗废物焚烧能力</w:t>
      </w:r>
      <w:r>
        <w:rPr>
          <w:rFonts w:hint="eastAsia"/>
          <w:sz w:val="28"/>
        </w:rPr>
        <w:t>1.03</w:t>
      </w:r>
      <w:r>
        <w:rPr>
          <w:rFonts w:hint="eastAsia"/>
          <w:sz w:val="28"/>
        </w:rPr>
        <w:t>万吨。具有危险废物综合利用能力的经营单位共</w:t>
      </w:r>
      <w:r>
        <w:rPr>
          <w:rFonts w:hint="eastAsia"/>
          <w:sz w:val="28"/>
        </w:rPr>
        <w:t>13</w:t>
      </w:r>
      <w:r>
        <w:rPr>
          <w:rFonts w:hint="eastAsia"/>
          <w:sz w:val="28"/>
        </w:rPr>
        <w:t>家，核准综合利用能力总计</w:t>
      </w:r>
      <w:r>
        <w:rPr>
          <w:rFonts w:hint="eastAsia"/>
          <w:sz w:val="28"/>
        </w:rPr>
        <w:t>36.15</w:t>
      </w:r>
      <w:r>
        <w:rPr>
          <w:rFonts w:hint="eastAsia"/>
          <w:sz w:val="28"/>
        </w:rPr>
        <w:t>万吨。收集废矿物油的经营单位</w:t>
      </w:r>
      <w:r>
        <w:rPr>
          <w:rFonts w:hint="eastAsia"/>
          <w:sz w:val="28"/>
        </w:rPr>
        <w:t>8</w:t>
      </w:r>
      <w:r>
        <w:rPr>
          <w:rFonts w:hint="eastAsia"/>
          <w:sz w:val="28"/>
        </w:rPr>
        <w:t>家，核准收集能力</w:t>
      </w:r>
      <w:r>
        <w:rPr>
          <w:rFonts w:hint="eastAsia"/>
          <w:sz w:val="28"/>
        </w:rPr>
        <w:t>1.86</w:t>
      </w:r>
      <w:r>
        <w:rPr>
          <w:rFonts w:hint="eastAsia"/>
          <w:sz w:val="28"/>
        </w:rPr>
        <w:t>万吨；收集废铅蓄电池的经营单位</w:t>
      </w:r>
      <w:r>
        <w:rPr>
          <w:rFonts w:hint="eastAsia"/>
          <w:sz w:val="28"/>
        </w:rPr>
        <w:t>10</w:t>
      </w:r>
      <w:r>
        <w:rPr>
          <w:rFonts w:hint="eastAsia"/>
          <w:sz w:val="28"/>
        </w:rPr>
        <w:t>家，核准收集能力</w:t>
      </w:r>
      <w:r>
        <w:rPr>
          <w:rFonts w:hint="eastAsia"/>
          <w:sz w:val="28"/>
        </w:rPr>
        <w:t>28.20</w:t>
      </w:r>
      <w:r>
        <w:rPr>
          <w:rFonts w:hint="eastAsia"/>
          <w:sz w:val="28"/>
        </w:rPr>
        <w:t>万吨。</w:t>
      </w:r>
    </w:p>
    <w:p w:rsidR="005A1ADB" w:rsidRDefault="000B6ECF">
      <w:pPr>
        <w:widowControl/>
        <w:spacing w:after="120" w:line="300" w:lineRule="auto"/>
        <w:ind w:firstLineChars="200" w:firstLine="560"/>
        <w:jc w:val="left"/>
        <w:rPr>
          <w:sz w:val="28"/>
        </w:rPr>
      </w:pPr>
      <w:r>
        <w:rPr>
          <w:rFonts w:hint="eastAsia"/>
          <w:sz w:val="28"/>
        </w:rPr>
        <w:t>2020</w:t>
      </w:r>
      <w:r>
        <w:rPr>
          <w:rFonts w:hint="eastAsia"/>
          <w:sz w:val="28"/>
        </w:rPr>
        <w:t>年长春市危废经营单位总核准能力远大于市域危废产生量，</w:t>
      </w:r>
      <w:r>
        <w:rPr>
          <w:rFonts w:hint="eastAsia"/>
          <w:sz w:val="28"/>
        </w:rPr>
        <w:t>前者约为后者的</w:t>
      </w:r>
      <w:r>
        <w:rPr>
          <w:rFonts w:hint="eastAsia"/>
          <w:sz w:val="28"/>
        </w:rPr>
        <w:t>5.4</w:t>
      </w:r>
      <w:r>
        <w:rPr>
          <w:rFonts w:hint="eastAsia"/>
          <w:sz w:val="28"/>
        </w:rPr>
        <w:t>倍。</w:t>
      </w:r>
      <w:r>
        <w:rPr>
          <w:rFonts w:hint="eastAsia"/>
          <w:sz w:val="28"/>
        </w:rPr>
        <w:t>2020</w:t>
      </w:r>
      <w:r>
        <w:rPr>
          <w:rFonts w:hint="eastAsia"/>
          <w:sz w:val="28"/>
        </w:rPr>
        <w:t>年长春市危废焚烧核准能力为实际焚烧处置量的</w:t>
      </w:r>
      <w:r>
        <w:rPr>
          <w:rFonts w:hint="eastAsia"/>
          <w:sz w:val="28"/>
        </w:rPr>
        <w:t>2.62</w:t>
      </w:r>
      <w:r>
        <w:rPr>
          <w:rFonts w:hint="eastAsia"/>
          <w:sz w:val="28"/>
        </w:rPr>
        <w:t>倍，医疗废物经营单位总核准能力为医疗废物产生量的</w:t>
      </w:r>
      <w:r>
        <w:rPr>
          <w:rFonts w:hint="eastAsia"/>
          <w:sz w:val="28"/>
        </w:rPr>
        <w:t>2.79</w:t>
      </w:r>
      <w:r>
        <w:rPr>
          <w:rFonts w:hint="eastAsia"/>
          <w:sz w:val="28"/>
        </w:rPr>
        <w:t>倍。长春市危险废物经营单位核准处置能力（不含综合焚烧）达到同年市域实际产生量</w:t>
      </w:r>
      <w:r>
        <w:rPr>
          <w:rFonts w:hint="eastAsia"/>
          <w:sz w:val="28"/>
        </w:rPr>
        <w:t>10</w:t>
      </w:r>
      <w:r>
        <w:rPr>
          <w:rFonts w:hint="eastAsia"/>
          <w:sz w:val="28"/>
        </w:rPr>
        <w:t>倍以上的有</w:t>
      </w:r>
      <w:r>
        <w:rPr>
          <w:rFonts w:hint="eastAsia"/>
          <w:sz w:val="28"/>
        </w:rPr>
        <w:t>7</w:t>
      </w:r>
      <w:r>
        <w:rPr>
          <w:rFonts w:hint="eastAsia"/>
          <w:sz w:val="28"/>
        </w:rPr>
        <w:t>个类别，分别为</w:t>
      </w:r>
      <w:r>
        <w:rPr>
          <w:rFonts w:hint="eastAsia"/>
          <w:sz w:val="28"/>
        </w:rPr>
        <w:t>HW11</w:t>
      </w:r>
      <w:r>
        <w:rPr>
          <w:rFonts w:hint="eastAsia"/>
          <w:sz w:val="28"/>
        </w:rPr>
        <w:t>（精（蒸）馏残渣）、</w:t>
      </w:r>
      <w:r>
        <w:rPr>
          <w:rFonts w:hint="eastAsia"/>
          <w:sz w:val="28"/>
        </w:rPr>
        <w:t>HW49</w:t>
      </w:r>
      <w:r>
        <w:rPr>
          <w:rFonts w:hint="eastAsia"/>
          <w:sz w:val="28"/>
        </w:rPr>
        <w:t>（其他废物，仅废桶）、</w:t>
      </w:r>
      <w:r>
        <w:rPr>
          <w:rFonts w:hint="eastAsia"/>
          <w:sz w:val="28"/>
        </w:rPr>
        <w:t>HW29</w:t>
      </w:r>
      <w:r>
        <w:rPr>
          <w:rFonts w:hint="eastAsia"/>
          <w:sz w:val="28"/>
        </w:rPr>
        <w:t>（含汞废物）、</w:t>
      </w:r>
      <w:r>
        <w:rPr>
          <w:rFonts w:hint="eastAsia"/>
          <w:sz w:val="28"/>
        </w:rPr>
        <w:t>HW04</w:t>
      </w:r>
      <w:r>
        <w:rPr>
          <w:rFonts w:hint="eastAsia"/>
          <w:sz w:val="28"/>
        </w:rPr>
        <w:t>（农药废物）、</w:t>
      </w:r>
      <w:r>
        <w:rPr>
          <w:rFonts w:hint="eastAsia"/>
          <w:sz w:val="28"/>
        </w:rPr>
        <w:t>HW34</w:t>
      </w:r>
      <w:r>
        <w:rPr>
          <w:rFonts w:hint="eastAsia"/>
          <w:sz w:val="28"/>
        </w:rPr>
        <w:t>（废酸）、</w:t>
      </w:r>
      <w:r>
        <w:rPr>
          <w:rFonts w:hint="eastAsia"/>
          <w:sz w:val="28"/>
        </w:rPr>
        <w:t>HW08</w:t>
      </w:r>
      <w:r>
        <w:rPr>
          <w:rFonts w:hint="eastAsia"/>
          <w:sz w:val="28"/>
        </w:rPr>
        <w:t>（废矿物油与含矿物油</w:t>
      </w:r>
      <w:r>
        <w:rPr>
          <w:rFonts w:hint="eastAsia"/>
          <w:sz w:val="28"/>
        </w:rPr>
        <w:lastRenderedPageBreak/>
        <w:t>废物）和</w:t>
      </w:r>
      <w:r>
        <w:rPr>
          <w:rFonts w:hint="eastAsia"/>
          <w:sz w:val="28"/>
        </w:rPr>
        <w:t>HW50</w:t>
      </w:r>
      <w:r>
        <w:rPr>
          <w:rFonts w:hint="eastAsia"/>
          <w:sz w:val="28"/>
        </w:rPr>
        <w:t>（废催化剂）等。在废物代码中，</w:t>
      </w:r>
      <w:r>
        <w:rPr>
          <w:rFonts w:hint="eastAsia"/>
          <w:sz w:val="28"/>
        </w:rPr>
        <w:t>900-214-08</w:t>
      </w:r>
      <w:r>
        <w:rPr>
          <w:rFonts w:hint="eastAsia"/>
          <w:sz w:val="28"/>
        </w:rPr>
        <w:t>（汽修废油）和</w:t>
      </w:r>
      <w:r>
        <w:rPr>
          <w:rFonts w:hint="eastAsia"/>
          <w:sz w:val="28"/>
        </w:rPr>
        <w:t>900-044-49</w:t>
      </w:r>
      <w:r>
        <w:rPr>
          <w:rFonts w:hint="eastAsia"/>
          <w:sz w:val="28"/>
        </w:rPr>
        <w:t>（废铅蓄电池）的核准</w:t>
      </w:r>
      <w:r>
        <w:rPr>
          <w:rFonts w:hint="eastAsia"/>
          <w:sz w:val="28"/>
        </w:rPr>
        <w:t>处置能力已严重过剩，其核准处置能力（不含综合焚烧）分别为同年市域实际产生量的</w:t>
      </w:r>
      <w:r>
        <w:rPr>
          <w:rFonts w:hint="eastAsia"/>
          <w:sz w:val="28"/>
        </w:rPr>
        <w:t>162.8</w:t>
      </w:r>
      <w:r>
        <w:rPr>
          <w:rFonts w:hint="eastAsia"/>
          <w:sz w:val="28"/>
        </w:rPr>
        <w:t>倍和</w:t>
      </w:r>
      <w:r>
        <w:rPr>
          <w:rFonts w:hint="eastAsia"/>
          <w:sz w:val="28"/>
        </w:rPr>
        <w:t>110.8</w:t>
      </w:r>
      <w:r>
        <w:rPr>
          <w:rFonts w:hint="eastAsia"/>
          <w:sz w:val="28"/>
        </w:rPr>
        <w:t>倍。</w:t>
      </w:r>
    </w:p>
    <w:p w:rsidR="005A1ADB" w:rsidRDefault="000B6ECF">
      <w:pPr>
        <w:pStyle w:val="5"/>
        <w:rPr>
          <w:rFonts w:ascii="宋体" w:eastAsia="宋体" w:hAnsi="宋体" w:cs="宋体"/>
        </w:rPr>
      </w:pPr>
      <w:r>
        <w:rPr>
          <w:rFonts w:ascii="宋体" w:eastAsia="宋体" w:hAnsi="宋体" w:cs="宋体" w:hint="eastAsia"/>
        </w:rPr>
        <w:t>2.2.5.3</w:t>
      </w:r>
      <w:r>
        <w:rPr>
          <w:rFonts w:ascii="宋体" w:eastAsia="宋体" w:hAnsi="宋体" w:cs="宋体" w:hint="eastAsia"/>
        </w:rPr>
        <w:t>危险废物管理现状</w:t>
      </w:r>
    </w:p>
    <w:p w:rsidR="005A1ADB" w:rsidRDefault="000B6ECF">
      <w:pPr>
        <w:widowControl/>
        <w:spacing w:after="120" w:line="300" w:lineRule="auto"/>
        <w:ind w:firstLineChars="200" w:firstLine="560"/>
        <w:rPr>
          <w:sz w:val="28"/>
        </w:rPr>
      </w:pPr>
      <w:r>
        <w:rPr>
          <w:rFonts w:hint="eastAsia"/>
          <w:sz w:val="28"/>
        </w:rPr>
        <w:t>在危险废物管理方面，“十三五”期间，长春市开展了危险废物规范化管理督查考核工作，并以此为抓手重点围绕“清废行动”针对危险废物、医疗废物等重点领域开展专项排查整治行动，着力推进县、市两级危险废物规范化管理督查考核，</w:t>
      </w:r>
      <w:r>
        <w:rPr>
          <w:rFonts w:hint="eastAsia"/>
          <w:sz w:val="28"/>
        </w:rPr>
        <w:t>2018-2020</w:t>
      </w:r>
      <w:r>
        <w:rPr>
          <w:rFonts w:hint="eastAsia"/>
          <w:sz w:val="28"/>
        </w:rPr>
        <w:t>年“清废行动”纳入各级政府环保目标责任书与政府绩效考核体系。</w:t>
      </w:r>
    </w:p>
    <w:p w:rsidR="005A1ADB" w:rsidRDefault="000B6ECF">
      <w:pPr>
        <w:widowControl/>
        <w:spacing w:after="120" w:line="300" w:lineRule="auto"/>
        <w:ind w:firstLineChars="200" w:firstLine="560"/>
        <w:rPr>
          <w:sz w:val="28"/>
        </w:rPr>
      </w:pPr>
      <w:r>
        <w:rPr>
          <w:rFonts w:hint="eastAsia"/>
          <w:sz w:val="28"/>
        </w:rPr>
        <w:t>通过全国固废管理信息系统及吉林省危险废物全过程智能监管平台的运行，全过程监管危险废</w:t>
      </w:r>
      <w:r>
        <w:rPr>
          <w:rFonts w:hint="eastAsia"/>
          <w:sz w:val="28"/>
        </w:rPr>
        <w:t>物产生、贮存、利用和处置状况，落实了危险废物转移联单制度，持有危险废物经营资质单位均制定了意外事故防范措施和应急预案。</w:t>
      </w:r>
    </w:p>
    <w:p w:rsidR="005A1ADB" w:rsidRDefault="000B6ECF">
      <w:pPr>
        <w:widowControl/>
        <w:spacing w:after="120" w:line="300" w:lineRule="auto"/>
        <w:ind w:firstLineChars="200" w:firstLine="560"/>
        <w:rPr>
          <w:sz w:val="28"/>
        </w:rPr>
      </w:pPr>
      <w:r>
        <w:rPr>
          <w:rFonts w:hint="eastAsia"/>
          <w:sz w:val="28"/>
        </w:rPr>
        <w:t>通过统筹推进各个领域危险废物污染防治工作，有效遏制违法违规行为，全市危险废物规范化管理水平明显提升，危险废物环境风险得到有效管控，“十三五”期间全市未出现涉危险废物的环境突发事件，为推进危险废物污染防治、维护生态环境安全提供了支撑保证。</w:t>
      </w:r>
    </w:p>
    <w:p w:rsidR="005A1ADB" w:rsidRDefault="000B6ECF">
      <w:pPr>
        <w:pStyle w:val="5"/>
        <w:rPr>
          <w:rFonts w:ascii="宋体" w:eastAsia="宋体" w:hAnsi="宋体" w:cs="宋体"/>
        </w:rPr>
      </w:pPr>
      <w:r>
        <w:rPr>
          <w:rFonts w:ascii="宋体" w:eastAsia="宋体" w:hAnsi="宋体" w:cs="宋体" w:hint="eastAsia"/>
        </w:rPr>
        <w:lastRenderedPageBreak/>
        <w:t>2.2.5.3</w:t>
      </w:r>
      <w:r>
        <w:rPr>
          <w:rFonts w:ascii="宋体" w:eastAsia="宋体" w:hAnsi="宋体" w:cs="宋体" w:hint="eastAsia"/>
        </w:rPr>
        <w:t>危险废物产生预测</w:t>
      </w:r>
    </w:p>
    <w:p w:rsidR="005A1ADB" w:rsidRDefault="000B6ECF">
      <w:pPr>
        <w:widowControl/>
        <w:spacing w:after="120" w:line="300" w:lineRule="auto"/>
        <w:ind w:firstLineChars="200" w:firstLine="560"/>
        <w:rPr>
          <w:sz w:val="28"/>
        </w:rPr>
      </w:pPr>
      <w:r>
        <w:rPr>
          <w:rFonts w:hint="eastAsia"/>
          <w:sz w:val="28"/>
        </w:rPr>
        <w:t>依据</w:t>
      </w:r>
      <w:r>
        <w:rPr>
          <w:rFonts w:hint="eastAsia"/>
          <w:sz w:val="28"/>
        </w:rPr>
        <w:t>2015-2020</w:t>
      </w:r>
      <w:r>
        <w:rPr>
          <w:rFonts w:hint="eastAsia"/>
          <w:sz w:val="28"/>
        </w:rPr>
        <w:t>年期间长春市工业危险废物、医疗废物的增长趋势，采用线性模型初步预测“十四五”规划期末（</w:t>
      </w:r>
      <w:r>
        <w:rPr>
          <w:rFonts w:hint="eastAsia"/>
          <w:sz w:val="28"/>
        </w:rPr>
        <w:t>2025</w:t>
      </w:r>
      <w:r>
        <w:rPr>
          <w:rFonts w:hint="eastAsia"/>
          <w:sz w:val="28"/>
        </w:rPr>
        <w:t>年）工</w:t>
      </w:r>
      <w:r>
        <w:rPr>
          <w:rFonts w:hint="eastAsia"/>
          <w:sz w:val="28"/>
        </w:rPr>
        <w:t>业危废的产生量为</w:t>
      </w:r>
      <w:r>
        <w:rPr>
          <w:rFonts w:hint="eastAsia"/>
          <w:sz w:val="28"/>
        </w:rPr>
        <w:t>22.62</w:t>
      </w:r>
      <w:r>
        <w:rPr>
          <w:rFonts w:hint="eastAsia"/>
          <w:sz w:val="28"/>
        </w:rPr>
        <w:t>万吨，医疗废物的产生量为</w:t>
      </w:r>
      <w:r>
        <w:rPr>
          <w:rFonts w:hint="eastAsia"/>
          <w:sz w:val="28"/>
        </w:rPr>
        <w:t>1.27</w:t>
      </w:r>
      <w:r>
        <w:rPr>
          <w:rFonts w:hint="eastAsia"/>
          <w:sz w:val="28"/>
        </w:rPr>
        <w:t>万吨，合计</w:t>
      </w:r>
      <w:r>
        <w:rPr>
          <w:rFonts w:hint="eastAsia"/>
          <w:sz w:val="28"/>
        </w:rPr>
        <w:t>23.89</w:t>
      </w:r>
      <w:r>
        <w:rPr>
          <w:rFonts w:hint="eastAsia"/>
          <w:sz w:val="28"/>
        </w:rPr>
        <w:t>万吨。</w:t>
      </w:r>
    </w:p>
    <w:p w:rsidR="005A1ADB" w:rsidRDefault="000B6ECF">
      <w:pPr>
        <w:widowControl/>
        <w:spacing w:after="120" w:line="300" w:lineRule="auto"/>
        <w:ind w:firstLineChars="200" w:firstLine="560"/>
        <w:rPr>
          <w:sz w:val="28"/>
        </w:rPr>
      </w:pPr>
      <w:r>
        <w:rPr>
          <w:rFonts w:hint="eastAsia"/>
          <w:sz w:val="28"/>
        </w:rPr>
        <w:t>根据规划期末（</w:t>
      </w:r>
      <w:r>
        <w:rPr>
          <w:rFonts w:hint="eastAsia"/>
          <w:sz w:val="28"/>
        </w:rPr>
        <w:t>2025</w:t>
      </w:r>
      <w:r>
        <w:rPr>
          <w:rFonts w:hint="eastAsia"/>
          <w:sz w:val="28"/>
        </w:rPr>
        <w:t>年）工业危废、医疗废物预测产生量，粗略计算得到在全部焚烧的情境下，工业危废焚烧飞灰和残渣分别约为</w:t>
      </w:r>
      <w:r>
        <w:rPr>
          <w:rFonts w:hint="eastAsia"/>
          <w:sz w:val="28"/>
        </w:rPr>
        <w:t>1425</w:t>
      </w:r>
      <w:r>
        <w:rPr>
          <w:rFonts w:hint="eastAsia"/>
          <w:sz w:val="28"/>
        </w:rPr>
        <w:t>吨和</w:t>
      </w:r>
      <w:r>
        <w:rPr>
          <w:rFonts w:hint="eastAsia"/>
          <w:sz w:val="28"/>
        </w:rPr>
        <w:t>7466</w:t>
      </w:r>
      <w:r>
        <w:rPr>
          <w:rFonts w:hint="eastAsia"/>
          <w:sz w:val="28"/>
        </w:rPr>
        <w:t>吨，医疗废物焚烧飞灰约为</w:t>
      </w:r>
      <w:r>
        <w:rPr>
          <w:rFonts w:hint="eastAsia"/>
          <w:sz w:val="28"/>
        </w:rPr>
        <w:t>1013</w:t>
      </w:r>
      <w:r>
        <w:rPr>
          <w:rFonts w:hint="eastAsia"/>
          <w:sz w:val="28"/>
        </w:rPr>
        <w:t>吨，总计约</w:t>
      </w:r>
      <w:r>
        <w:rPr>
          <w:rFonts w:hint="eastAsia"/>
          <w:sz w:val="28"/>
        </w:rPr>
        <w:t>9904</w:t>
      </w:r>
      <w:r>
        <w:rPr>
          <w:rFonts w:hint="eastAsia"/>
          <w:sz w:val="28"/>
        </w:rPr>
        <w:t>吨。</w:t>
      </w:r>
    </w:p>
    <w:p w:rsidR="005A1ADB" w:rsidRDefault="000B6ECF">
      <w:pPr>
        <w:pStyle w:val="3"/>
        <w:rPr>
          <w:sz w:val="28"/>
        </w:rPr>
      </w:pPr>
      <w:bookmarkStart w:id="34" w:name="_Toc26648"/>
      <w:bookmarkStart w:id="35" w:name="_Toc111199984"/>
      <w:bookmarkStart w:id="36" w:name="_Toc104561689"/>
      <w:bookmarkStart w:id="37" w:name="_Toc115079267"/>
      <w:bookmarkStart w:id="38" w:name="_Toc17568"/>
      <w:r>
        <w:rPr>
          <w:rFonts w:hint="eastAsia"/>
          <w:sz w:val="28"/>
        </w:rPr>
        <w:t xml:space="preserve">2.3 </w:t>
      </w:r>
      <w:r>
        <w:rPr>
          <w:rFonts w:hint="eastAsia"/>
          <w:sz w:val="28"/>
        </w:rPr>
        <w:t>存在的主要问题</w:t>
      </w:r>
      <w:bookmarkEnd w:id="34"/>
      <w:bookmarkEnd w:id="35"/>
      <w:bookmarkEnd w:id="36"/>
      <w:bookmarkEnd w:id="37"/>
      <w:bookmarkEnd w:id="38"/>
    </w:p>
    <w:p w:rsidR="005A1ADB" w:rsidRDefault="000B6ECF">
      <w:pPr>
        <w:pStyle w:val="4"/>
      </w:pPr>
      <w:r>
        <w:rPr>
          <w:rFonts w:hint="eastAsia"/>
        </w:rPr>
        <w:t>2.3.1</w:t>
      </w:r>
      <w:r>
        <w:rPr>
          <w:rFonts w:hint="eastAsia"/>
        </w:rPr>
        <w:t>固体废物源头减量有待加强</w:t>
      </w:r>
    </w:p>
    <w:p w:rsidR="005A1ADB" w:rsidRDefault="000B6ECF">
      <w:pPr>
        <w:widowControl/>
        <w:numPr>
          <w:ilvl w:val="255"/>
          <w:numId w:val="0"/>
        </w:numPr>
        <w:spacing w:after="120" w:line="300" w:lineRule="auto"/>
        <w:ind w:firstLineChars="200" w:firstLine="560"/>
        <w:rPr>
          <w:sz w:val="28"/>
        </w:rPr>
      </w:pPr>
      <w:r>
        <w:rPr>
          <w:rFonts w:hint="eastAsia"/>
          <w:sz w:val="28"/>
        </w:rPr>
        <w:t>在一般工业固体废物方面，煤炭为主的能源消费结构导致一般工业固体废物的产生量较大。</w:t>
      </w:r>
      <w:r>
        <w:rPr>
          <w:rFonts w:hint="eastAsia"/>
          <w:sz w:val="28"/>
          <w:szCs w:val="28"/>
        </w:rPr>
        <w:t>受能源消费构成和冬季供暖的影响，</w:t>
      </w:r>
      <w:r>
        <w:rPr>
          <w:rFonts w:hint="eastAsia"/>
          <w:sz w:val="28"/>
        </w:rPr>
        <w:t>长春市煤炭消费产生的</w:t>
      </w:r>
      <w:r>
        <w:rPr>
          <w:rFonts w:hint="eastAsia"/>
          <w:sz w:val="28"/>
          <w:szCs w:val="28"/>
        </w:rPr>
        <w:t>粉煤灰、炉渣和煤矸石总计占到工业固体废物产生量近八成</w:t>
      </w:r>
      <w:r>
        <w:rPr>
          <w:rFonts w:hint="eastAsia"/>
          <w:sz w:val="28"/>
        </w:rPr>
        <w:t>。因此，在保障能源安全和民生供热的基础上，有待通过优化长春市能源消费结构逐步降低长春市</w:t>
      </w:r>
      <w:r>
        <w:rPr>
          <w:rFonts w:hint="eastAsia"/>
          <w:sz w:val="28"/>
          <w:szCs w:val="28"/>
        </w:rPr>
        <w:t>工业固体废物的产生强度</w:t>
      </w:r>
      <w:r>
        <w:rPr>
          <w:rFonts w:hint="eastAsia"/>
          <w:sz w:val="28"/>
        </w:rPr>
        <w:t>，主要措施包括促进煤炭清洁高效利用、提高非化石能源和天然气消费占比等。同时，长春市绿色制造体系有待加快建设，通过推进节能降碳改造、清洁生产改造等措施，提升工业园区和企业的能源利用效率和资源利用水平，从而促进减污降碳协同增效。</w:t>
      </w:r>
    </w:p>
    <w:p w:rsidR="005A1ADB" w:rsidRDefault="000B6ECF">
      <w:pPr>
        <w:widowControl/>
        <w:numPr>
          <w:ilvl w:val="255"/>
          <w:numId w:val="0"/>
        </w:numPr>
        <w:spacing w:after="120" w:line="300" w:lineRule="auto"/>
        <w:ind w:firstLineChars="200" w:firstLine="560"/>
        <w:rPr>
          <w:sz w:val="28"/>
        </w:rPr>
      </w:pPr>
      <w:r>
        <w:rPr>
          <w:rFonts w:hint="eastAsia"/>
          <w:sz w:val="28"/>
        </w:rPr>
        <w:lastRenderedPageBreak/>
        <w:t>在农业固体废物方面，农药包装废弃物的回收体系有待继续完善。</w:t>
      </w:r>
      <w:r>
        <w:rPr>
          <w:rFonts w:hint="eastAsia"/>
          <w:sz w:val="28"/>
        </w:rPr>
        <w:t>2020</w:t>
      </w:r>
      <w:r>
        <w:rPr>
          <w:rFonts w:hint="eastAsia"/>
          <w:sz w:val="28"/>
        </w:rPr>
        <w:t>年长春市农药包装废弃物的回收率仅为</w:t>
      </w:r>
      <w:r>
        <w:rPr>
          <w:rFonts w:hint="eastAsia"/>
          <w:sz w:val="28"/>
        </w:rPr>
        <w:t>52.54%</w:t>
      </w:r>
      <w:r>
        <w:rPr>
          <w:rFonts w:hint="eastAsia"/>
          <w:sz w:val="28"/>
        </w:rPr>
        <w:t>，收集政策和机</w:t>
      </w:r>
      <w:r>
        <w:rPr>
          <w:rFonts w:hint="eastAsia"/>
          <w:sz w:val="28"/>
        </w:rPr>
        <w:t>制方面有待健全。亟需通过增加农药包装废弃物回收点、配套相关管理激励制度等措施，引导农民积极主动回收农药包装废弃物，从而提高农药包装废弃物回收率。在畜禽粪污收集体系方面，存在一些已建成的收集处置设施长期闲置、部分村庄畜禽粪污随意堆放在路边和农田的问题。</w:t>
      </w:r>
    </w:p>
    <w:p w:rsidR="005A1ADB" w:rsidRDefault="000B6ECF">
      <w:pPr>
        <w:widowControl/>
        <w:spacing w:after="120" w:line="300" w:lineRule="auto"/>
        <w:ind w:firstLineChars="200" w:firstLine="560"/>
        <w:rPr>
          <w:sz w:val="28"/>
        </w:rPr>
      </w:pPr>
      <w:r>
        <w:rPr>
          <w:rFonts w:hint="eastAsia"/>
          <w:sz w:val="28"/>
        </w:rPr>
        <w:t>在生活源固体废物方面，城市生活垃圾分类推进不平衡，生活垃圾分类尚未全域覆盖。截止到</w:t>
      </w:r>
      <w:r>
        <w:rPr>
          <w:rFonts w:hint="eastAsia"/>
          <w:sz w:val="28"/>
        </w:rPr>
        <w:t>2020</w:t>
      </w:r>
      <w:r>
        <w:rPr>
          <w:rFonts w:hint="eastAsia"/>
          <w:sz w:val="28"/>
        </w:rPr>
        <w:t>年，部分外县（市）尚未建成生活垃圾分类收运系统和再生资源分类回收利用管理体系，从而在一定程度上制约了长春市生活垃圾资源化利用水平的提升。</w:t>
      </w:r>
    </w:p>
    <w:p w:rsidR="005A1ADB" w:rsidRDefault="000B6ECF">
      <w:pPr>
        <w:widowControl/>
        <w:spacing w:after="120" w:line="300" w:lineRule="auto"/>
        <w:ind w:firstLineChars="200" w:firstLine="560"/>
        <w:rPr>
          <w:sz w:val="28"/>
          <w:szCs w:val="28"/>
        </w:rPr>
      </w:pPr>
      <w:r>
        <w:rPr>
          <w:rFonts w:hint="eastAsia"/>
          <w:sz w:val="28"/>
        </w:rPr>
        <w:t>在危险废物方面，存在“散小微”社</w:t>
      </w:r>
      <w:r>
        <w:rPr>
          <w:rFonts w:hint="eastAsia"/>
          <w:sz w:val="28"/>
        </w:rPr>
        <w:t>会源规范滞后与环境监管力量薄弱之间的矛盾。分散社会源危险废物暂未完全纳入长春市危险废物管理体系，规范化收集贮存及运输体系尚不完善，导致产生量少的危险废物收集运输困难，企业贮存压力大。同时，基层监管力量严重不足，业务素质亟待提高，“散小微”等危险废物的全过程监管能力有待增强。</w:t>
      </w:r>
    </w:p>
    <w:p w:rsidR="005A1ADB" w:rsidRDefault="000B6ECF">
      <w:pPr>
        <w:pStyle w:val="4"/>
      </w:pPr>
      <w:r>
        <w:rPr>
          <w:rFonts w:hint="eastAsia"/>
        </w:rPr>
        <w:t>2.3.2</w:t>
      </w:r>
      <w:r>
        <w:rPr>
          <w:rFonts w:hint="eastAsia"/>
        </w:rPr>
        <w:t>部分固体废物处置能力欠缺</w:t>
      </w:r>
    </w:p>
    <w:p w:rsidR="005A1ADB" w:rsidRDefault="000B6ECF">
      <w:pPr>
        <w:widowControl/>
        <w:numPr>
          <w:ilvl w:val="255"/>
          <w:numId w:val="0"/>
        </w:numPr>
        <w:spacing w:after="120" w:line="300" w:lineRule="auto"/>
        <w:ind w:firstLineChars="200" w:firstLine="560"/>
        <w:rPr>
          <w:sz w:val="28"/>
        </w:rPr>
      </w:pPr>
      <w:r>
        <w:rPr>
          <w:rFonts w:hint="eastAsia"/>
          <w:sz w:val="28"/>
        </w:rPr>
        <w:t>在生活源固体废物方面，生活垃圾焚烧处置和餐厨垃圾处理能力仍有不足。部分外县（市）尚未建成生活垃圾焚烧处理设施或已有生活垃圾焚烧处理设施的处置能力不足，截止到</w:t>
      </w:r>
      <w:r>
        <w:rPr>
          <w:rFonts w:hint="eastAsia"/>
          <w:sz w:val="28"/>
        </w:rPr>
        <w:t>2020</w:t>
      </w:r>
      <w:r>
        <w:rPr>
          <w:rFonts w:hint="eastAsia"/>
          <w:sz w:val="28"/>
        </w:rPr>
        <w:t>年，长春市垃圾</w:t>
      </w:r>
      <w:r>
        <w:rPr>
          <w:rFonts w:hint="eastAsia"/>
          <w:sz w:val="28"/>
        </w:rPr>
        <w:lastRenderedPageBreak/>
        <w:t>焚烧处置能力为</w:t>
      </w:r>
      <w:r>
        <w:rPr>
          <w:rFonts w:hint="eastAsia"/>
          <w:sz w:val="28"/>
        </w:rPr>
        <w:t>4950</w:t>
      </w:r>
      <w:r>
        <w:rPr>
          <w:rFonts w:hint="eastAsia"/>
          <w:sz w:val="28"/>
        </w:rPr>
        <w:t>吨</w:t>
      </w:r>
      <w:r>
        <w:rPr>
          <w:rFonts w:hint="eastAsia"/>
          <w:sz w:val="28"/>
        </w:rPr>
        <w:t>/</w:t>
      </w:r>
      <w:r>
        <w:rPr>
          <w:rFonts w:hint="eastAsia"/>
          <w:sz w:val="28"/>
        </w:rPr>
        <w:t>日，与市域当年生活垃圾清运量相比，长春市生活垃圾焚烧处置能力缺口（扣除餐厨垃圾处置能力）约</w:t>
      </w:r>
      <w:r>
        <w:rPr>
          <w:rFonts w:hint="eastAsia"/>
          <w:sz w:val="28"/>
        </w:rPr>
        <w:t>59.78</w:t>
      </w:r>
      <w:r>
        <w:rPr>
          <w:rFonts w:hint="eastAsia"/>
          <w:sz w:val="28"/>
        </w:rPr>
        <w:t>万吨，尚未实现原生生活垃圾“零填埋”。在餐厨垃圾处置方面，除公主岭市以外，其他外县（市）均尚无餐厨垃圾处理设施。此外，在生活垃圾管理方面，建筑垃圾处置能力不足，建筑垃圾消纳场（处理场）建设选址难，存在建筑垃圾</w:t>
      </w:r>
      <w:r>
        <w:rPr>
          <w:rFonts w:hint="eastAsia"/>
          <w:sz w:val="28"/>
        </w:rPr>
        <w:t>违法填埋的问题。</w:t>
      </w:r>
    </w:p>
    <w:p w:rsidR="005A1ADB" w:rsidRDefault="000B6ECF">
      <w:pPr>
        <w:widowControl/>
        <w:numPr>
          <w:ilvl w:val="255"/>
          <w:numId w:val="0"/>
        </w:numPr>
        <w:spacing w:after="120" w:line="300" w:lineRule="auto"/>
        <w:ind w:firstLineChars="200" w:firstLine="560"/>
        <w:rPr>
          <w:sz w:val="28"/>
          <w:szCs w:val="28"/>
        </w:rPr>
      </w:pPr>
      <w:r>
        <w:rPr>
          <w:rFonts w:hint="eastAsia"/>
          <w:sz w:val="28"/>
        </w:rPr>
        <w:t>在危险废物方面，主要存在少数种类危废处置能力不足与部分种类危废处置能力过剩之间的矛盾。目前，我市危险废物处置总能力明显大于市域危废产生量，其中，部分类别危险废物处置能力严重过剩，核准处置能力达市域实际产生量的</w:t>
      </w:r>
      <w:r>
        <w:rPr>
          <w:rFonts w:hint="eastAsia"/>
          <w:sz w:val="28"/>
        </w:rPr>
        <w:t>10</w:t>
      </w:r>
      <w:r>
        <w:rPr>
          <w:rFonts w:hint="eastAsia"/>
          <w:sz w:val="28"/>
        </w:rPr>
        <w:t>倍以上，个别种类如</w:t>
      </w:r>
      <w:r>
        <w:rPr>
          <w:sz w:val="28"/>
        </w:rPr>
        <w:t>汽修废油</w:t>
      </w:r>
      <w:r>
        <w:rPr>
          <w:rFonts w:hint="eastAsia"/>
          <w:sz w:val="28"/>
        </w:rPr>
        <w:t>和废铅蓄电池的核准处置能力甚至达市域实际产生量的百倍以上。与此同时，危险废物的焚烧飞灰</w:t>
      </w:r>
      <w:r>
        <w:rPr>
          <w:rFonts w:hint="eastAsia"/>
          <w:sz w:val="28"/>
        </w:rPr>
        <w:t>/</w:t>
      </w:r>
      <w:r>
        <w:rPr>
          <w:rFonts w:hint="eastAsia"/>
          <w:sz w:val="28"/>
        </w:rPr>
        <w:t>残渣尚缺乏本地处置能力，由于我市目前暂无危险废物处置填埋场所，危险废物焚烧飞灰、残渣等须远距离运输处置，成本高、风险大。</w:t>
      </w:r>
    </w:p>
    <w:p w:rsidR="005A1ADB" w:rsidRDefault="000B6ECF">
      <w:pPr>
        <w:pStyle w:val="4"/>
      </w:pPr>
      <w:r>
        <w:rPr>
          <w:rFonts w:hint="eastAsia"/>
        </w:rPr>
        <w:t>2.3.3</w:t>
      </w:r>
      <w:r>
        <w:rPr>
          <w:rFonts w:hint="eastAsia"/>
        </w:rPr>
        <w:t>固体废物产业发展相对滞后</w:t>
      </w:r>
    </w:p>
    <w:p w:rsidR="005A1ADB" w:rsidRDefault="000B6ECF">
      <w:pPr>
        <w:widowControl/>
        <w:numPr>
          <w:ilvl w:val="255"/>
          <w:numId w:val="0"/>
        </w:numPr>
        <w:spacing w:after="120" w:line="300" w:lineRule="auto"/>
        <w:ind w:firstLineChars="200" w:firstLine="560"/>
        <w:rPr>
          <w:sz w:val="28"/>
        </w:rPr>
      </w:pPr>
      <w:r>
        <w:rPr>
          <w:rFonts w:hint="eastAsia"/>
          <w:sz w:val="28"/>
        </w:rPr>
        <w:t>长春市固体</w:t>
      </w:r>
      <w:r>
        <w:rPr>
          <w:rFonts w:hint="eastAsia"/>
          <w:sz w:val="28"/>
        </w:rPr>
        <w:t>废物综合利用产业发展相对较为滞后，导致了固体废物产生量大与综合利用出口少之间的矛盾。</w:t>
      </w:r>
    </w:p>
    <w:p w:rsidR="005A1ADB" w:rsidRDefault="000B6ECF">
      <w:pPr>
        <w:widowControl/>
        <w:numPr>
          <w:ilvl w:val="255"/>
          <w:numId w:val="0"/>
        </w:numPr>
        <w:spacing w:after="120" w:line="300" w:lineRule="auto"/>
        <w:ind w:firstLineChars="200" w:firstLine="560"/>
        <w:rPr>
          <w:sz w:val="28"/>
        </w:rPr>
      </w:pPr>
      <w:r>
        <w:rPr>
          <w:rFonts w:hint="eastAsia"/>
          <w:sz w:val="28"/>
        </w:rPr>
        <w:t>在工业固体废物方面，一般工业固废综合利用水平偏低，特别是其他废物和冶炼废渣，综合利用率分别仅为</w:t>
      </w:r>
      <w:r>
        <w:rPr>
          <w:rFonts w:hint="eastAsia"/>
          <w:sz w:val="28"/>
        </w:rPr>
        <w:t>56.3%</w:t>
      </w:r>
      <w:r>
        <w:rPr>
          <w:rFonts w:hint="eastAsia"/>
          <w:sz w:val="28"/>
        </w:rPr>
        <w:t>和</w:t>
      </w:r>
      <w:r>
        <w:rPr>
          <w:rFonts w:hint="eastAsia"/>
          <w:sz w:val="28"/>
        </w:rPr>
        <w:t>0.3%</w:t>
      </w:r>
      <w:r>
        <w:rPr>
          <w:rFonts w:hint="eastAsia"/>
          <w:sz w:val="28"/>
        </w:rPr>
        <w:t>。</w:t>
      </w:r>
    </w:p>
    <w:p w:rsidR="005A1ADB" w:rsidRDefault="000B6ECF">
      <w:pPr>
        <w:widowControl/>
        <w:numPr>
          <w:ilvl w:val="255"/>
          <w:numId w:val="0"/>
        </w:numPr>
        <w:spacing w:after="120" w:line="300" w:lineRule="auto"/>
        <w:ind w:firstLineChars="200" w:firstLine="560"/>
        <w:rPr>
          <w:sz w:val="28"/>
        </w:rPr>
      </w:pPr>
      <w:r>
        <w:rPr>
          <w:rFonts w:hint="eastAsia"/>
          <w:sz w:val="28"/>
        </w:rPr>
        <w:t>在农业固体废物方面，秸秆和畜禽粪污资源利用产业发展受到制约，导致农业固废综合回收利用率不高。一方面，畜禽粪污综合开发</w:t>
      </w:r>
      <w:r>
        <w:rPr>
          <w:rFonts w:hint="eastAsia"/>
          <w:sz w:val="28"/>
        </w:rPr>
        <w:lastRenderedPageBreak/>
        <w:t>利用不充分，部分养殖场、农村散养户仍缺乏相应废弃物处理系统；另一方面，在秸秆综合利用方面，存在秸秆收储运体系不健全、秸秆还田离田成本高、大量秸秆没有有效消纳途径、一些地方秸秆综合利用措施落实不</w:t>
      </w:r>
      <w:r>
        <w:rPr>
          <w:rFonts w:hint="eastAsia"/>
          <w:sz w:val="28"/>
        </w:rPr>
        <w:t>到位等问题，导致秸秆综合利用率不高，制约秸秆综合利用的产业化发展。同时，大多数农业经营组织为单一种植业或单一养殖业，种植与养殖相互衔接、协调促进、共同发展尚有待实现。</w:t>
      </w:r>
    </w:p>
    <w:p w:rsidR="005A1ADB" w:rsidRDefault="000B6ECF">
      <w:pPr>
        <w:widowControl/>
        <w:numPr>
          <w:ilvl w:val="255"/>
          <w:numId w:val="0"/>
        </w:numPr>
        <w:spacing w:after="120" w:line="300" w:lineRule="auto"/>
        <w:ind w:firstLineChars="200" w:firstLine="560"/>
        <w:rPr>
          <w:sz w:val="28"/>
        </w:rPr>
      </w:pPr>
      <w:r>
        <w:rPr>
          <w:rFonts w:hint="eastAsia"/>
          <w:sz w:val="28"/>
        </w:rPr>
        <w:t>在生活源固体废物方面，再生资源利用的循环经济产业链尚不完整，城镇污水污泥利用方式构成不合理。目前，长春市区每天垃圾分拣出七大类可回收物资约</w:t>
      </w:r>
      <w:r>
        <w:rPr>
          <w:rFonts w:hint="eastAsia"/>
          <w:sz w:val="28"/>
        </w:rPr>
        <w:t>2100</w:t>
      </w:r>
      <w:r>
        <w:rPr>
          <w:rFonts w:hint="eastAsia"/>
          <w:sz w:val="28"/>
        </w:rPr>
        <w:t>吨，再生资源回收总量居全国城市第</w:t>
      </w:r>
      <w:r>
        <w:rPr>
          <w:rFonts w:hint="eastAsia"/>
          <w:sz w:val="28"/>
        </w:rPr>
        <w:t>15</w:t>
      </w:r>
      <w:r>
        <w:rPr>
          <w:rFonts w:hint="eastAsia"/>
          <w:sz w:val="28"/>
        </w:rPr>
        <w:t>位，但由于长春市缺少再生资源终端处置和资源化利用产业，导致每年约有</w:t>
      </w:r>
      <w:r>
        <w:rPr>
          <w:rFonts w:hint="eastAsia"/>
          <w:sz w:val="28"/>
        </w:rPr>
        <w:t>150</w:t>
      </w:r>
      <w:r>
        <w:rPr>
          <w:rFonts w:hint="eastAsia"/>
          <w:sz w:val="28"/>
        </w:rPr>
        <w:t>亿再生资源销售产值被统计到外地，近</w:t>
      </w:r>
      <w:r>
        <w:rPr>
          <w:rFonts w:hint="eastAsia"/>
          <w:sz w:val="28"/>
        </w:rPr>
        <w:t>20</w:t>
      </w:r>
      <w:r>
        <w:rPr>
          <w:rFonts w:hint="eastAsia"/>
          <w:sz w:val="28"/>
        </w:rPr>
        <w:t>亿税收流向黑龙江、辽宁、河北、天津等地。在城镇生活污</w:t>
      </w:r>
      <w:r>
        <w:rPr>
          <w:rFonts w:hint="eastAsia"/>
          <w:sz w:val="28"/>
        </w:rPr>
        <w:t>水处理厂污泥利用方面，利用途径较少，土地利用的占比高达</w:t>
      </w:r>
      <w:r>
        <w:rPr>
          <w:rFonts w:hint="eastAsia"/>
          <w:sz w:val="28"/>
        </w:rPr>
        <w:t>87.44%</w:t>
      </w:r>
      <w:r>
        <w:rPr>
          <w:rFonts w:hint="eastAsia"/>
          <w:sz w:val="28"/>
        </w:rPr>
        <w:t>且存在违法填埋污泥处置后产物的问题，污泥焚烧占比仅为</w:t>
      </w:r>
      <w:r>
        <w:rPr>
          <w:rFonts w:hint="eastAsia"/>
          <w:sz w:val="28"/>
        </w:rPr>
        <w:t>6.92%</w:t>
      </w:r>
      <w:r>
        <w:rPr>
          <w:rFonts w:hint="eastAsia"/>
          <w:sz w:val="28"/>
        </w:rPr>
        <w:t>；同时，我市尚无污泥和餐厨</w:t>
      </w:r>
      <w:r>
        <w:rPr>
          <w:rFonts w:hint="eastAsia"/>
          <w:sz w:val="28"/>
        </w:rPr>
        <w:t>/</w:t>
      </w:r>
      <w:r>
        <w:rPr>
          <w:rFonts w:hint="eastAsia"/>
          <w:sz w:val="28"/>
        </w:rPr>
        <w:t>厨余废弃物共处理、污泥建筑材料综合利用等污泥利用处置方式。</w:t>
      </w:r>
    </w:p>
    <w:p w:rsidR="005A1ADB" w:rsidRDefault="000B6ECF">
      <w:pPr>
        <w:widowControl/>
        <w:numPr>
          <w:ilvl w:val="255"/>
          <w:numId w:val="0"/>
        </w:numPr>
        <w:spacing w:after="120" w:line="300" w:lineRule="auto"/>
        <w:ind w:firstLineChars="200" w:firstLine="560"/>
        <w:rPr>
          <w:sz w:val="28"/>
          <w:szCs w:val="28"/>
        </w:rPr>
      </w:pPr>
      <w:r>
        <w:rPr>
          <w:rFonts w:hint="eastAsia"/>
          <w:sz w:val="28"/>
        </w:rPr>
        <w:t>在危险废物方面，危险废物处置行业的集中度偏低。长春市危险废物经营单位总体表现为规模小、数量多，缺乏高度规模化、专业化的企业，危险废物综合利用能力有待提升。</w:t>
      </w:r>
    </w:p>
    <w:p w:rsidR="005A1ADB" w:rsidRDefault="000B6ECF">
      <w:pPr>
        <w:pStyle w:val="4"/>
      </w:pPr>
      <w:r>
        <w:rPr>
          <w:rFonts w:hint="eastAsia"/>
        </w:rPr>
        <w:lastRenderedPageBreak/>
        <w:t>2.3.4</w:t>
      </w:r>
      <w:r>
        <w:rPr>
          <w:rFonts w:hint="eastAsia"/>
        </w:rPr>
        <w:t>固体废物监管能力有待增强</w:t>
      </w:r>
    </w:p>
    <w:p w:rsidR="005A1ADB" w:rsidRDefault="000B6ECF">
      <w:pPr>
        <w:widowControl/>
        <w:numPr>
          <w:ilvl w:val="255"/>
          <w:numId w:val="0"/>
        </w:numPr>
        <w:spacing w:after="120" w:line="300" w:lineRule="auto"/>
        <w:ind w:firstLineChars="200" w:firstLine="560"/>
        <w:rPr>
          <w:sz w:val="28"/>
        </w:rPr>
      </w:pPr>
      <w:r>
        <w:rPr>
          <w:rFonts w:hint="eastAsia"/>
          <w:sz w:val="28"/>
        </w:rPr>
        <w:t>在固体废物统计管理方面，部分类型的固体废物尚未开展主要管理环节的量化统计。如</w:t>
      </w:r>
      <w:r>
        <w:rPr>
          <w:rFonts w:hint="eastAsia"/>
          <w:sz w:val="28"/>
          <w:szCs w:val="32"/>
        </w:rPr>
        <w:t>工业固体废物可再生类废物中的</w:t>
      </w:r>
      <w:r>
        <w:rPr>
          <w:rFonts w:hint="eastAsia"/>
          <w:sz w:val="28"/>
          <w:szCs w:val="32"/>
        </w:rPr>
        <w:t>废木材、废电池、报废机动车等，建筑垃圾中的工程渣土、拆除垃圾等，相关部门尚未对其开展产生、利用、处置等各个管理环节的数量统计，成为长春市固体废物管理的短板。此外，在企业日常管理方面，</w:t>
      </w:r>
      <w:r>
        <w:rPr>
          <w:rFonts w:hint="eastAsia"/>
          <w:sz w:val="28"/>
        </w:rPr>
        <w:t>存在部分涉危险废物企业日常管理不规范的问题。</w:t>
      </w:r>
    </w:p>
    <w:p w:rsidR="005A1ADB" w:rsidRDefault="000B6ECF">
      <w:pPr>
        <w:widowControl/>
        <w:numPr>
          <w:ilvl w:val="255"/>
          <w:numId w:val="0"/>
        </w:numPr>
        <w:spacing w:after="120" w:line="300" w:lineRule="auto"/>
        <w:ind w:firstLineChars="200" w:firstLine="560"/>
        <w:sectPr w:rsidR="005A1ADB">
          <w:pgSz w:w="11906" w:h="16838"/>
          <w:pgMar w:top="1440" w:right="1800" w:bottom="1440" w:left="1800" w:header="851" w:footer="992" w:gutter="0"/>
          <w:cols w:space="425"/>
          <w:docGrid w:type="lines" w:linePitch="312"/>
        </w:sectPr>
      </w:pPr>
      <w:r>
        <w:rPr>
          <w:rFonts w:hint="eastAsia"/>
          <w:sz w:val="28"/>
        </w:rPr>
        <w:t>在固体废物信息化监管方面，多部门间固体废物管理信息壁垒尚未打通。新修订的《固体废物污染环境防治法》要求推进固体废物收集、转移、处置等全过程监控和信息化追溯，目前长春市尚未打通生态环境、工信、城管、城乡建设、农业农村、畜牧、卫健、邮政、商务、林园、交通等各</w:t>
      </w:r>
      <w:r>
        <w:rPr>
          <w:rFonts w:hint="eastAsia"/>
          <w:sz w:val="28"/>
        </w:rPr>
        <w:t>部门的相关数据，使得固体废物的全过程物质流路径不清晰，如一般工业固体废物的行业来源和资源化利用的具体去向尚不明确等。同时，能力和需求的相关数据难以及时获取，如一般工业固体废物的利用处置能力、实际需求及其动态变化情况等，从而在一定程度上制约了长春市固体废物高效监管格局和服务模式的形成。因此，覆盖长春市一般工业固体废物、生活垃圾、建筑垃圾、农业固体废物、危险废物管理数据的信息化监管服务系统亟待建成。</w:t>
      </w:r>
    </w:p>
    <w:p w:rsidR="005A1ADB" w:rsidRDefault="000B6ECF">
      <w:pPr>
        <w:pStyle w:val="2"/>
        <w:rPr>
          <w:sz w:val="28"/>
        </w:rPr>
      </w:pPr>
      <w:bookmarkStart w:id="39" w:name="_Toc115079268"/>
      <w:bookmarkStart w:id="40" w:name="_Toc25853"/>
      <w:bookmarkStart w:id="41" w:name="_Toc30512"/>
      <w:bookmarkStart w:id="42" w:name="_Toc111199985"/>
      <w:bookmarkStart w:id="43" w:name="_Toc104561690"/>
      <w:r>
        <w:rPr>
          <w:rFonts w:hint="eastAsia"/>
          <w:sz w:val="28"/>
        </w:rPr>
        <w:lastRenderedPageBreak/>
        <w:t>三、总体思路、原则和目标</w:t>
      </w:r>
      <w:bookmarkEnd w:id="39"/>
      <w:bookmarkEnd w:id="40"/>
      <w:bookmarkEnd w:id="41"/>
      <w:bookmarkEnd w:id="42"/>
      <w:bookmarkEnd w:id="43"/>
    </w:p>
    <w:p w:rsidR="005A1ADB" w:rsidRDefault="000B6ECF">
      <w:pPr>
        <w:pStyle w:val="3"/>
        <w:tabs>
          <w:tab w:val="left" w:pos="2592"/>
        </w:tabs>
        <w:rPr>
          <w:sz w:val="28"/>
        </w:rPr>
      </w:pPr>
      <w:bookmarkStart w:id="44" w:name="_Toc19454"/>
      <w:bookmarkStart w:id="45" w:name="_Toc26250"/>
      <w:bookmarkStart w:id="46" w:name="_Toc115079269"/>
      <w:bookmarkStart w:id="47" w:name="_Toc111199986"/>
      <w:bookmarkStart w:id="48" w:name="_Toc104561691"/>
      <w:r>
        <w:rPr>
          <w:rFonts w:hint="eastAsia"/>
          <w:sz w:val="28"/>
        </w:rPr>
        <w:t xml:space="preserve">3.1 </w:t>
      </w:r>
      <w:r>
        <w:rPr>
          <w:rFonts w:hint="eastAsia"/>
          <w:sz w:val="28"/>
        </w:rPr>
        <w:t>总体思路</w:t>
      </w:r>
      <w:bookmarkEnd w:id="44"/>
      <w:bookmarkEnd w:id="45"/>
      <w:bookmarkEnd w:id="46"/>
      <w:bookmarkEnd w:id="47"/>
      <w:bookmarkEnd w:id="48"/>
      <w:r>
        <w:rPr>
          <w:sz w:val="28"/>
        </w:rPr>
        <w:tab/>
      </w:r>
    </w:p>
    <w:p w:rsidR="005A1ADB" w:rsidRDefault="000B6ECF" w:rsidP="00033A19">
      <w:pPr>
        <w:adjustRightInd w:val="0"/>
        <w:snapToGrid w:val="0"/>
        <w:spacing w:line="360" w:lineRule="auto"/>
        <w:ind w:firstLineChars="196" w:firstLine="549"/>
        <w:rPr>
          <w:sz w:val="28"/>
          <w:szCs w:val="28"/>
        </w:rPr>
      </w:pPr>
      <w:r>
        <w:rPr>
          <w:rFonts w:hint="eastAsia"/>
          <w:sz w:val="28"/>
          <w:szCs w:val="28"/>
        </w:rPr>
        <w:t>以习近平新时代中国特色社会主义思想为指导，深入贯彻习近平生态文明思</w:t>
      </w:r>
      <w:r>
        <w:rPr>
          <w:rFonts w:hint="eastAsia"/>
          <w:sz w:val="28"/>
          <w:szCs w:val="28"/>
        </w:rPr>
        <w:t>想和全国生态环境保护大会精神，厚植生态优势、推动绿色发展、探索“两山理论、绿色低碳”循环发展新思路。深入落实吉林省省委提出的长春市在全省“打先锋、站排头”战略要求，立足新发展阶段、贯彻新发展理念、构建新发展格局，以实现固体废物减量化、资源化和无害化为目标，以打造“生态强市”为主题，以建设“双碳示范城”为引领，发挥减污降碳协同效应。坚持规划统筹、精细管理、精巧制度、精准处置，全面构建分类治理、有效协同、全程管理、智能高效的新型城乡固体废物处置利用体系，积极推动固体废物处理向规范化、精细化、专业化、规模化、现代</w:t>
      </w:r>
      <w:r>
        <w:rPr>
          <w:rFonts w:hint="eastAsia"/>
          <w:sz w:val="28"/>
          <w:szCs w:val="28"/>
        </w:rPr>
        <w:t>化方向发展。</w:t>
      </w:r>
    </w:p>
    <w:p w:rsidR="005A1ADB" w:rsidRDefault="000B6ECF">
      <w:pPr>
        <w:pStyle w:val="3"/>
        <w:rPr>
          <w:sz w:val="28"/>
        </w:rPr>
      </w:pPr>
      <w:bookmarkStart w:id="49" w:name="_Toc10218"/>
      <w:bookmarkStart w:id="50" w:name="_Toc28097"/>
      <w:bookmarkStart w:id="51" w:name="_Toc115079270"/>
      <w:bookmarkStart w:id="52" w:name="_Toc104561692"/>
      <w:bookmarkStart w:id="53" w:name="_Toc111199987"/>
      <w:r>
        <w:rPr>
          <w:rFonts w:hint="eastAsia"/>
          <w:sz w:val="28"/>
        </w:rPr>
        <w:t xml:space="preserve">3.2 </w:t>
      </w:r>
      <w:r>
        <w:rPr>
          <w:rFonts w:hint="eastAsia"/>
          <w:sz w:val="28"/>
        </w:rPr>
        <w:t>建设原则</w:t>
      </w:r>
      <w:bookmarkEnd w:id="49"/>
      <w:bookmarkEnd w:id="50"/>
      <w:bookmarkEnd w:id="51"/>
      <w:bookmarkEnd w:id="52"/>
      <w:bookmarkEnd w:id="53"/>
    </w:p>
    <w:p w:rsidR="005A1ADB" w:rsidRDefault="000B6ECF" w:rsidP="00033A19">
      <w:pPr>
        <w:adjustRightInd w:val="0"/>
        <w:snapToGrid w:val="0"/>
        <w:spacing w:line="360" w:lineRule="auto"/>
        <w:ind w:firstLineChars="196" w:firstLine="549"/>
        <w:rPr>
          <w:sz w:val="28"/>
          <w:szCs w:val="28"/>
        </w:rPr>
      </w:pPr>
      <w:r>
        <w:rPr>
          <w:rFonts w:hint="eastAsia"/>
          <w:sz w:val="28"/>
          <w:szCs w:val="28"/>
        </w:rPr>
        <w:t>坚持统筹规划、注重系统集成。围绕“十四五”时期“无废城市”建设目标，坚持与省市经济发展、环境保护、“十四五”规划相统一，将提升固体废物综合管理水平与推进供给侧结构性改革相衔接，在生态保护和高质量发展、碳达峰碳中和等重大国家战略部署下系统谋划“无废城市”建设，推动实现生产、流通、消费等各环节绿色化、循环化。</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坚持问题导向、注重创新驱动。重点识别主要固体废物在产生、收集、转移、利用、处置等过程中的关键环节和薄弱之处，科学分析固体废物环境管理工作中面临的主要问题，有的放矢、精准发力</w:t>
      </w:r>
      <w:r>
        <w:rPr>
          <w:rFonts w:hint="eastAsia"/>
          <w:sz w:val="28"/>
          <w:szCs w:val="28"/>
        </w:rPr>
        <w:t>，加快制度、机制、模式和技术创新，推动实现重点突破与整体创新，持</w:t>
      </w:r>
      <w:r>
        <w:rPr>
          <w:rFonts w:hint="eastAsia"/>
          <w:sz w:val="28"/>
          <w:szCs w:val="28"/>
        </w:rPr>
        <w:lastRenderedPageBreak/>
        <w:t>续提升城市固体废物减量化、资源化、无害化水平，形成“无废城市”建设长效机制。</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坚持依法治理、注重制度改革。结合《中华人民共和国固体废物污染环境防治法》等法律法规要求，健全固体废物污染环境防治长效机制，深化固体废物管理体制机制改革，完善“无废城市”制度、市场、技术、监管四大体系建设，为“无废城市”建设提供支撑保障。</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坚持协同联动、注重共治共享。厘清固体废物管理职能职责，加强协同联动，建立分工明确、权责清晰、协同增效的管理体制机制；落实企业环境治理</w:t>
      </w:r>
      <w:r>
        <w:rPr>
          <w:rFonts w:hint="eastAsia"/>
          <w:sz w:val="28"/>
          <w:szCs w:val="28"/>
        </w:rPr>
        <w:t>主体责任，发挥群众监督和社会监督作用，构建党委领导、政府主导、企业主体、社会组织和公众共同参与的“无废城市”建设工作格局</w:t>
      </w:r>
    </w:p>
    <w:p w:rsidR="005A1ADB" w:rsidRDefault="000B6ECF">
      <w:pPr>
        <w:pStyle w:val="3"/>
        <w:rPr>
          <w:sz w:val="28"/>
        </w:rPr>
      </w:pPr>
      <w:bookmarkStart w:id="54" w:name="_Toc104561693"/>
      <w:bookmarkStart w:id="55" w:name="_Toc29861"/>
      <w:bookmarkStart w:id="56" w:name="_Toc111199988"/>
      <w:bookmarkStart w:id="57" w:name="_Toc2019"/>
      <w:bookmarkStart w:id="58" w:name="_Toc115079271"/>
      <w:r>
        <w:rPr>
          <w:rFonts w:hint="eastAsia"/>
          <w:sz w:val="28"/>
        </w:rPr>
        <w:t xml:space="preserve">3.3 </w:t>
      </w:r>
      <w:r>
        <w:rPr>
          <w:rFonts w:hint="eastAsia"/>
          <w:sz w:val="28"/>
        </w:rPr>
        <w:t>建设目标</w:t>
      </w:r>
      <w:bookmarkEnd w:id="54"/>
      <w:bookmarkEnd w:id="55"/>
      <w:bookmarkEnd w:id="56"/>
      <w:bookmarkEnd w:id="57"/>
      <w:bookmarkEnd w:id="58"/>
    </w:p>
    <w:p w:rsidR="005A1ADB" w:rsidRDefault="000B6ECF" w:rsidP="00033A19">
      <w:pPr>
        <w:adjustRightInd w:val="0"/>
        <w:snapToGrid w:val="0"/>
        <w:spacing w:line="360" w:lineRule="auto"/>
        <w:ind w:firstLineChars="196" w:firstLine="549"/>
        <w:rPr>
          <w:sz w:val="28"/>
          <w:szCs w:val="28"/>
        </w:rPr>
      </w:pPr>
      <w:r>
        <w:rPr>
          <w:rFonts w:hint="eastAsia"/>
          <w:sz w:val="28"/>
          <w:szCs w:val="28"/>
        </w:rPr>
        <w:t>近期目标：到</w:t>
      </w:r>
      <w:r>
        <w:rPr>
          <w:rFonts w:hint="eastAsia"/>
          <w:sz w:val="28"/>
          <w:szCs w:val="28"/>
        </w:rPr>
        <w:t>2023</w:t>
      </w:r>
      <w:r>
        <w:rPr>
          <w:rFonts w:hint="eastAsia"/>
          <w:sz w:val="28"/>
          <w:szCs w:val="28"/>
        </w:rPr>
        <w:t>年底，“无废城市”建设综合管理制度和技术体系基本完善，在产废源头减量化、分类贮存规范化、收集转运专业化、资源利用最大化、处置能力匹配化、高压严管常态化、管理手段信息化、治理行业产业化、制度创新精准化、齐抓共管制度化等方面探索经验、补齐短板、整体提升，初步形成“全类型、全覆盖、全过程”的固体废物分类处置和资源化利用体系，基本实现产废无增长、资源无浪费、</w:t>
      </w:r>
      <w:r>
        <w:rPr>
          <w:rFonts w:hint="eastAsia"/>
          <w:sz w:val="28"/>
          <w:szCs w:val="28"/>
        </w:rPr>
        <w:t>设施无缺口、监管无盲区、保障无缺位、固废无倾倒、。建成一批绿色生产项目，实现原生垃圾零填埋、工业固体废弃物利用处置全覆盖、危险废物基本实现全面安全管控。</w:t>
      </w:r>
    </w:p>
    <w:p w:rsidR="005A1ADB" w:rsidRDefault="000B6ECF" w:rsidP="00033A19">
      <w:pPr>
        <w:adjustRightInd w:val="0"/>
        <w:snapToGrid w:val="0"/>
        <w:spacing w:line="360" w:lineRule="auto"/>
        <w:ind w:firstLineChars="196" w:firstLine="549"/>
        <w:rPr>
          <w:sz w:val="28"/>
          <w:szCs w:val="28"/>
        </w:rPr>
      </w:pPr>
      <w:r>
        <w:rPr>
          <w:rFonts w:hint="eastAsia"/>
          <w:sz w:val="28"/>
          <w:szCs w:val="28"/>
        </w:rPr>
        <w:t>远期目标：到</w:t>
      </w:r>
      <w:r>
        <w:rPr>
          <w:rFonts w:hint="eastAsia"/>
          <w:sz w:val="28"/>
          <w:szCs w:val="28"/>
        </w:rPr>
        <w:t>2025</w:t>
      </w:r>
      <w:r>
        <w:rPr>
          <w:rFonts w:hint="eastAsia"/>
          <w:sz w:val="28"/>
          <w:szCs w:val="28"/>
        </w:rPr>
        <w:t>年，“无废城市”建设综合管理制度和监管体系全面建立，固废信息化管理水平全面提升，基本形成“全类型、全覆盖、全过程”的固体废物分类处置和资源化利用体系，“无废文</w:t>
      </w:r>
      <w:r>
        <w:rPr>
          <w:rFonts w:hint="eastAsia"/>
          <w:sz w:val="28"/>
          <w:szCs w:val="28"/>
        </w:rPr>
        <w:lastRenderedPageBreak/>
        <w:t>化”创建全民参与。全市绿色发展水平显著提升，固体废物精细化管理理念在各行业全面落实。全市自觉践行绿色生活方式，普遍树立绿色消费理念，城市品质全面提升，城市影响力显著提高。</w:t>
      </w:r>
    </w:p>
    <w:p w:rsidR="005A1ADB" w:rsidRDefault="000B6ECF">
      <w:pPr>
        <w:pStyle w:val="3"/>
        <w:tabs>
          <w:tab w:val="left" w:pos="2379"/>
        </w:tabs>
        <w:rPr>
          <w:sz w:val="28"/>
        </w:rPr>
      </w:pPr>
      <w:bookmarkStart w:id="59" w:name="_Toc104561694"/>
      <w:bookmarkStart w:id="60" w:name="_Toc115079272"/>
      <w:bookmarkStart w:id="61" w:name="_Toc22812"/>
      <w:bookmarkStart w:id="62" w:name="_Toc30049"/>
      <w:bookmarkStart w:id="63" w:name="_Toc111199989"/>
      <w:r>
        <w:rPr>
          <w:rFonts w:hint="eastAsia"/>
          <w:sz w:val="28"/>
        </w:rPr>
        <w:t xml:space="preserve">3.4 </w:t>
      </w:r>
      <w:r>
        <w:rPr>
          <w:rFonts w:hint="eastAsia"/>
          <w:sz w:val="28"/>
        </w:rPr>
        <w:t>指标体系</w:t>
      </w:r>
      <w:bookmarkEnd w:id="59"/>
      <w:bookmarkEnd w:id="60"/>
      <w:bookmarkEnd w:id="61"/>
      <w:bookmarkEnd w:id="62"/>
      <w:bookmarkEnd w:id="63"/>
      <w:r>
        <w:rPr>
          <w:sz w:val="28"/>
        </w:rPr>
        <w:tab/>
      </w:r>
    </w:p>
    <w:p w:rsidR="005A1ADB" w:rsidRDefault="000B6ECF" w:rsidP="00033A19">
      <w:pPr>
        <w:adjustRightInd w:val="0"/>
        <w:snapToGrid w:val="0"/>
        <w:spacing w:line="360" w:lineRule="auto"/>
        <w:ind w:firstLineChars="196" w:firstLine="549"/>
        <w:rPr>
          <w:sz w:val="28"/>
          <w:szCs w:val="28"/>
        </w:rPr>
      </w:pPr>
      <w:r>
        <w:rPr>
          <w:rFonts w:hint="eastAsia"/>
          <w:sz w:val="28"/>
          <w:szCs w:val="28"/>
        </w:rPr>
        <w:t>“十四五”时期，长春市“无废城市”建设指标体系共包括</w:t>
      </w:r>
      <w:r>
        <w:rPr>
          <w:rFonts w:hint="eastAsia"/>
          <w:sz w:val="28"/>
          <w:szCs w:val="28"/>
        </w:rPr>
        <w:t>5</w:t>
      </w:r>
      <w:r>
        <w:rPr>
          <w:rFonts w:hint="eastAsia"/>
          <w:sz w:val="28"/>
          <w:szCs w:val="28"/>
        </w:rPr>
        <w:t>个一级指标、</w:t>
      </w:r>
      <w:r>
        <w:rPr>
          <w:rFonts w:hint="eastAsia"/>
          <w:sz w:val="28"/>
          <w:szCs w:val="28"/>
        </w:rPr>
        <w:t>16</w:t>
      </w:r>
      <w:r>
        <w:rPr>
          <w:rFonts w:hint="eastAsia"/>
          <w:sz w:val="28"/>
          <w:szCs w:val="28"/>
        </w:rPr>
        <w:t>个二级指标、</w:t>
      </w:r>
      <w:r>
        <w:rPr>
          <w:rFonts w:hint="eastAsia"/>
          <w:sz w:val="28"/>
          <w:szCs w:val="28"/>
        </w:rPr>
        <w:t>53</w:t>
      </w:r>
      <w:r>
        <w:rPr>
          <w:rFonts w:hint="eastAsia"/>
          <w:sz w:val="28"/>
          <w:szCs w:val="28"/>
        </w:rPr>
        <w:t>个三级指标，按指标性质可分为必选指标（</w:t>
      </w:r>
      <w:r>
        <w:rPr>
          <w:rFonts w:hint="eastAsia"/>
          <w:sz w:val="28"/>
          <w:szCs w:val="28"/>
        </w:rPr>
        <w:t>25</w:t>
      </w:r>
      <w:r>
        <w:rPr>
          <w:rFonts w:hint="eastAsia"/>
          <w:sz w:val="28"/>
          <w:szCs w:val="28"/>
        </w:rPr>
        <w:t>个）、可选指标（</w:t>
      </w:r>
      <w:r>
        <w:rPr>
          <w:rFonts w:hint="eastAsia"/>
          <w:sz w:val="28"/>
          <w:szCs w:val="28"/>
        </w:rPr>
        <w:t>9</w:t>
      </w:r>
      <w:r>
        <w:rPr>
          <w:rFonts w:hint="eastAsia"/>
          <w:sz w:val="28"/>
          <w:szCs w:val="28"/>
        </w:rPr>
        <w:t>个）和自选指标（</w:t>
      </w:r>
      <w:r>
        <w:rPr>
          <w:rFonts w:hint="eastAsia"/>
          <w:sz w:val="28"/>
          <w:szCs w:val="28"/>
        </w:rPr>
        <w:t>19</w:t>
      </w:r>
      <w:r>
        <w:rPr>
          <w:rFonts w:hint="eastAsia"/>
          <w:sz w:val="28"/>
          <w:szCs w:val="28"/>
        </w:rPr>
        <w:t>个），如下表所示。</w:t>
      </w:r>
    </w:p>
    <w:p w:rsidR="005A1ADB" w:rsidRDefault="005A1ADB">
      <w:pPr>
        <w:sectPr w:rsidR="005A1ADB">
          <w:pgSz w:w="11906" w:h="16838"/>
          <w:pgMar w:top="1440" w:right="1800" w:bottom="1440" w:left="1800" w:header="851" w:footer="992" w:gutter="0"/>
          <w:cols w:space="425"/>
          <w:docGrid w:type="lines" w:linePitch="312"/>
        </w:sectPr>
      </w:pPr>
    </w:p>
    <w:p w:rsidR="005A1ADB" w:rsidRDefault="000B6ECF">
      <w:pPr>
        <w:pStyle w:val="a4"/>
        <w:jc w:val="center"/>
        <w:rPr>
          <w:sz w:val="24"/>
          <w:szCs w:val="32"/>
        </w:rPr>
      </w:pPr>
      <w:r>
        <w:rPr>
          <w:sz w:val="24"/>
          <w:szCs w:val="32"/>
        </w:rPr>
        <w:lastRenderedPageBreak/>
        <w:t>表</w:t>
      </w:r>
      <w:r>
        <w:rPr>
          <w:sz w:val="24"/>
          <w:szCs w:val="32"/>
        </w:rPr>
        <w:t xml:space="preserve"> </w:t>
      </w:r>
      <w:r w:rsidR="005A1ADB">
        <w:rPr>
          <w:sz w:val="24"/>
          <w:szCs w:val="32"/>
        </w:rPr>
        <w:fldChar w:fldCharType="begin"/>
      </w:r>
      <w:r>
        <w:rPr>
          <w:sz w:val="24"/>
          <w:szCs w:val="32"/>
        </w:rPr>
        <w:instrText xml:space="preserve"> SEQ </w:instrText>
      </w:r>
      <w:r>
        <w:rPr>
          <w:sz w:val="24"/>
          <w:szCs w:val="32"/>
        </w:rPr>
        <w:instrText>表</w:instrText>
      </w:r>
      <w:r>
        <w:rPr>
          <w:sz w:val="24"/>
          <w:szCs w:val="32"/>
        </w:rPr>
        <w:instrText xml:space="preserve"> \* ARABIC </w:instrText>
      </w:r>
      <w:r w:rsidR="005A1ADB">
        <w:rPr>
          <w:sz w:val="24"/>
          <w:szCs w:val="32"/>
        </w:rPr>
        <w:fldChar w:fldCharType="separate"/>
      </w:r>
      <w:r>
        <w:rPr>
          <w:sz w:val="24"/>
          <w:szCs w:val="32"/>
        </w:rPr>
        <w:t>11</w:t>
      </w:r>
      <w:r w:rsidR="005A1ADB">
        <w:rPr>
          <w:sz w:val="24"/>
          <w:szCs w:val="32"/>
        </w:rPr>
        <w:fldChar w:fldCharType="end"/>
      </w:r>
      <w:r>
        <w:rPr>
          <w:rFonts w:hint="eastAsia"/>
          <w:sz w:val="24"/>
          <w:szCs w:val="32"/>
        </w:rPr>
        <w:tab/>
      </w:r>
      <w:r>
        <w:rPr>
          <w:rFonts w:hint="eastAsia"/>
          <w:sz w:val="24"/>
          <w:szCs w:val="32"/>
        </w:rPr>
        <w:t>“十四五”时期长春市“无废城市”建设指标体系</w:t>
      </w:r>
    </w:p>
    <w:p w:rsidR="005A1ADB" w:rsidRDefault="005A1ADB"/>
    <w:tbl>
      <w:tblPr>
        <w:tblW w:w="14311" w:type="dxa"/>
        <w:tblLayout w:type="fixed"/>
        <w:tblLook w:val="04A0"/>
      </w:tblPr>
      <w:tblGrid>
        <w:gridCol w:w="480"/>
        <w:gridCol w:w="480"/>
        <w:gridCol w:w="991"/>
        <w:gridCol w:w="4111"/>
        <w:gridCol w:w="709"/>
        <w:gridCol w:w="2551"/>
        <w:gridCol w:w="1134"/>
        <w:gridCol w:w="1276"/>
        <w:gridCol w:w="1276"/>
        <w:gridCol w:w="1303"/>
      </w:tblGrid>
      <w:tr w:rsidR="005A1ADB">
        <w:trPr>
          <w:trHeight w:val="639"/>
        </w:trPr>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b/>
                <w:bCs/>
                <w:sz w:val="24"/>
                <w:szCs w:val="24"/>
              </w:rPr>
            </w:pPr>
            <w:r>
              <w:rPr>
                <w:rFonts w:ascii="宋体" w:eastAsia="宋体" w:hAnsi="宋体" w:cs="宋体" w:hint="eastAsia"/>
                <w:b/>
                <w:bCs/>
                <w:sz w:val="24"/>
                <w:szCs w:val="24"/>
              </w:rPr>
              <w:t>一级指标</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b/>
                <w:bCs/>
                <w:sz w:val="24"/>
                <w:szCs w:val="24"/>
              </w:rPr>
            </w:pPr>
            <w:r>
              <w:rPr>
                <w:rFonts w:ascii="宋体" w:eastAsia="宋体" w:hAnsi="宋体" w:cs="宋体" w:hint="eastAsia"/>
                <w:b/>
                <w:bCs/>
                <w:sz w:val="24"/>
                <w:szCs w:val="24"/>
              </w:rPr>
              <w:t>二级指标</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b/>
                <w:bCs/>
                <w:sz w:val="24"/>
                <w:szCs w:val="24"/>
              </w:rPr>
            </w:pPr>
            <w:r>
              <w:rPr>
                <w:rFonts w:ascii="宋体" w:eastAsia="宋体" w:hAnsi="宋体" w:cs="宋体" w:hint="eastAsia"/>
                <w:b/>
                <w:bCs/>
                <w:sz w:val="24"/>
                <w:szCs w:val="24"/>
              </w:rPr>
              <w:t>三级指标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b/>
                <w:bCs/>
                <w:sz w:val="24"/>
                <w:szCs w:val="24"/>
              </w:rPr>
            </w:pPr>
            <w:r>
              <w:rPr>
                <w:rFonts w:ascii="宋体" w:eastAsia="宋体" w:hAnsi="宋体" w:cs="宋体" w:hint="eastAsia"/>
                <w:b/>
                <w:bCs/>
                <w:sz w:val="24"/>
                <w:szCs w:val="24"/>
              </w:rPr>
              <w:t>指标性质</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b/>
                <w:bCs/>
                <w:sz w:val="24"/>
                <w:szCs w:val="24"/>
              </w:rPr>
            </w:pPr>
            <w:r>
              <w:rPr>
                <w:rFonts w:ascii="宋体" w:eastAsia="宋体" w:hAnsi="宋体" w:cs="宋体" w:hint="eastAsia"/>
                <w:b/>
                <w:bCs/>
                <w:sz w:val="24"/>
                <w:szCs w:val="24"/>
              </w:rPr>
              <w:t>数据来源</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b/>
                <w:bCs/>
                <w:sz w:val="24"/>
                <w:szCs w:val="24"/>
              </w:rPr>
            </w:pPr>
            <w:r>
              <w:rPr>
                <w:rFonts w:ascii="宋体" w:eastAsia="宋体" w:hAnsi="宋体" w:cs="宋体" w:hint="eastAsia"/>
                <w:b/>
                <w:bCs/>
                <w:sz w:val="24"/>
                <w:szCs w:val="24"/>
              </w:rPr>
              <w:t>属性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b/>
                <w:bCs/>
                <w:sz w:val="24"/>
                <w:szCs w:val="24"/>
              </w:rPr>
            </w:pPr>
            <w:r>
              <w:rPr>
                <w:rFonts w:ascii="宋体" w:eastAsia="宋体" w:hAnsi="宋体" w:cs="宋体" w:hint="eastAsia"/>
                <w:b/>
                <w:bCs/>
                <w:sz w:val="24"/>
                <w:szCs w:val="24"/>
              </w:rPr>
              <w:t>单位</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b/>
                <w:bCs/>
                <w:sz w:val="24"/>
                <w:szCs w:val="24"/>
              </w:rPr>
            </w:pPr>
            <w:r>
              <w:rPr>
                <w:rFonts w:ascii="宋体" w:eastAsia="宋体" w:hAnsi="宋体" w:cs="宋体" w:hint="eastAsia"/>
                <w:b/>
                <w:bCs/>
                <w:sz w:val="24"/>
                <w:szCs w:val="24"/>
              </w:rPr>
              <w:t>2020</w:t>
            </w:r>
            <w:r>
              <w:rPr>
                <w:rFonts w:ascii="宋体" w:eastAsia="宋体" w:hAnsi="宋体" w:cs="宋体" w:hint="eastAsia"/>
                <w:b/>
                <w:bCs/>
                <w:sz w:val="24"/>
                <w:szCs w:val="24"/>
              </w:rPr>
              <w:t>年</w:t>
            </w:r>
            <w:r>
              <w:rPr>
                <w:rFonts w:ascii="宋体" w:eastAsia="宋体" w:hAnsi="宋体" w:cs="宋体" w:hint="eastAsia"/>
                <w:b/>
                <w:bCs/>
                <w:sz w:val="24"/>
                <w:szCs w:val="24"/>
              </w:rPr>
              <w:t xml:space="preserve">      </w:t>
            </w:r>
            <w:r>
              <w:rPr>
                <w:rFonts w:ascii="宋体" w:eastAsia="宋体" w:hAnsi="宋体" w:cs="宋体" w:hint="eastAsia"/>
                <w:b/>
                <w:bCs/>
                <w:sz w:val="24"/>
                <w:szCs w:val="24"/>
              </w:rPr>
              <w:t>现状值</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2025</w:t>
            </w:r>
            <w:r>
              <w:rPr>
                <w:rFonts w:ascii="宋体" w:eastAsia="宋体" w:hAnsi="宋体" w:cs="宋体" w:hint="eastAsia"/>
                <w:b/>
                <w:bCs/>
                <w:kern w:val="0"/>
                <w:sz w:val="24"/>
                <w:szCs w:val="24"/>
              </w:rPr>
              <w:t>年</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规划值</w:t>
            </w:r>
          </w:p>
        </w:tc>
      </w:tr>
      <w:tr w:rsidR="005A1ADB">
        <w:trPr>
          <w:trHeight w:val="648"/>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w:t>
            </w:r>
          </w:p>
        </w:tc>
        <w:tc>
          <w:tcPr>
            <w:tcW w:w="4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固体废物源头减量</w:t>
            </w:r>
          </w:p>
        </w:tc>
        <w:tc>
          <w:tcPr>
            <w:tcW w:w="991" w:type="dxa"/>
            <w:vMerge w:val="restart"/>
            <w:tcBorders>
              <w:top w:val="single" w:sz="8" w:space="0" w:color="000000"/>
              <w:left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工业源头减量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一般工业固体废物产生强度★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市生态环境局、市统计局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kg/</w:t>
            </w:r>
            <w:r>
              <w:rPr>
                <w:rFonts w:ascii="宋体" w:eastAsia="宋体" w:hAnsi="宋体" w:cs="宋体" w:hint="eastAsia"/>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445.4</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350</w:t>
            </w:r>
          </w:p>
        </w:tc>
      </w:tr>
      <w:tr w:rsidR="005A1ADB">
        <w:trPr>
          <w:trHeight w:val="639"/>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left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工业危险废物产生强度★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市生态环境局、市统计局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kg/</w:t>
            </w:r>
            <w:r>
              <w:rPr>
                <w:rFonts w:ascii="宋体" w:eastAsia="宋体" w:hAnsi="宋体" w:cs="宋体" w:hint="eastAsia"/>
                <w:sz w:val="24"/>
                <w:szCs w:val="24"/>
              </w:rPr>
              <w:t>万元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12.1</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11</w:t>
            </w:r>
          </w:p>
        </w:tc>
      </w:tr>
      <w:tr w:rsidR="005A1ADB">
        <w:trPr>
          <w:trHeight w:val="725"/>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left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通过清洁生产审核评估工业企业占比★</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jc w:val="center"/>
              <w:rPr>
                <w:rFonts w:ascii="宋体" w:eastAsia="宋体" w:hAnsi="宋体" w:cs="宋体"/>
                <w:sz w:val="24"/>
                <w:szCs w:val="24"/>
              </w:rPr>
            </w:pPr>
            <w:r>
              <w:rPr>
                <w:rFonts w:ascii="宋体" w:eastAsia="宋体" w:hAnsi="宋体" w:cs="宋体" w:hint="eastAsia"/>
                <w:sz w:val="24"/>
                <w:szCs w:val="24"/>
              </w:rPr>
              <w:t>100</w:t>
            </w:r>
          </w:p>
        </w:tc>
      </w:tr>
      <w:tr w:rsidR="005A1ADB">
        <w:trPr>
          <w:trHeight w:val="691"/>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4</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left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危险废物综合经营单位通过清洁生产审核评估的比例</w:t>
            </w:r>
            <w:r>
              <w:rPr>
                <w:rFonts w:ascii="宋体" w:eastAsia="宋体" w:hAnsi="宋体" w:cs="宋体" w:hint="eastAsia"/>
                <w:sz w:val="24"/>
                <w:szCs w:val="24"/>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690"/>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5</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left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“十四五”期间创建绿色工厂数量</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市工业和信息化局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户</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国家级</w:t>
            </w:r>
            <w:r>
              <w:rPr>
                <w:rFonts w:ascii="宋体" w:eastAsia="宋体" w:hAnsi="宋体" w:cs="宋体" w:hint="eastAsia"/>
                <w:kern w:val="0"/>
                <w:sz w:val="24"/>
                <w:szCs w:val="24"/>
              </w:rPr>
              <w:t>30</w:t>
            </w:r>
            <w:r>
              <w:rPr>
                <w:rFonts w:ascii="宋体" w:eastAsia="宋体" w:hAnsi="宋体" w:cs="宋体" w:hint="eastAsia"/>
                <w:kern w:val="0"/>
                <w:sz w:val="24"/>
                <w:szCs w:val="24"/>
              </w:rPr>
              <w:t>户，省级</w:t>
            </w:r>
            <w:r>
              <w:rPr>
                <w:rFonts w:ascii="宋体" w:eastAsia="宋体" w:hAnsi="宋体" w:cs="宋体" w:hint="eastAsia"/>
                <w:kern w:val="0"/>
                <w:sz w:val="24"/>
                <w:szCs w:val="24"/>
              </w:rPr>
              <w:t>50</w:t>
            </w:r>
            <w:r>
              <w:rPr>
                <w:rFonts w:ascii="宋体" w:eastAsia="宋体" w:hAnsi="宋体" w:cs="宋体" w:hint="eastAsia"/>
                <w:kern w:val="0"/>
                <w:sz w:val="24"/>
                <w:szCs w:val="24"/>
              </w:rPr>
              <w:t>户</w:t>
            </w:r>
          </w:p>
        </w:tc>
      </w:tr>
      <w:tr w:rsidR="005A1ADB">
        <w:trPr>
          <w:trHeight w:val="745"/>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6</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left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“十四五”期间创建绿色设计产品数量</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市工业和信息化局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个</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w:t>
            </w:r>
          </w:p>
        </w:tc>
      </w:tr>
      <w:tr w:rsidR="005A1ADB">
        <w:trPr>
          <w:trHeight w:val="550"/>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color w:val="FF0000"/>
                <w:sz w:val="24"/>
                <w:szCs w:val="24"/>
              </w:rPr>
              <w:t>7</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绿色矿山建成率★</w:t>
            </w:r>
            <w:r>
              <w:rPr>
                <w:rFonts w:ascii="宋体" w:eastAsia="宋体" w:hAnsi="宋体" w:cs="宋体" w:hint="eastAsia"/>
                <w:sz w:val="24"/>
                <w:szCs w:val="24"/>
                <w:vertAlign w:val="superscript"/>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市规划和自然资源局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3.6</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13.7</w:t>
            </w:r>
          </w:p>
        </w:tc>
      </w:tr>
      <w:tr w:rsidR="005A1ADB">
        <w:trPr>
          <w:trHeight w:val="666"/>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8</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val="restart"/>
            <w:tcBorders>
              <w:top w:val="single" w:sz="8" w:space="0" w:color="000000"/>
              <w:left w:val="single" w:sz="8" w:space="0" w:color="000000"/>
              <w:right w:val="single" w:sz="8" w:space="0" w:color="000000"/>
            </w:tcBorders>
            <w:shd w:val="clear" w:color="auto" w:fill="FFFFFF"/>
            <w:vAlign w:val="center"/>
          </w:tcPr>
          <w:p w:rsidR="005A1ADB" w:rsidRDefault="000B6ECF">
            <w:pPr>
              <w:jc w:val="center"/>
              <w:rPr>
                <w:rFonts w:ascii="宋体" w:eastAsia="宋体" w:hAnsi="宋体" w:cs="宋体"/>
                <w:sz w:val="24"/>
                <w:szCs w:val="24"/>
              </w:rPr>
            </w:pPr>
            <w:r>
              <w:rPr>
                <w:rFonts w:ascii="宋体" w:eastAsia="宋体" w:hAnsi="宋体" w:cs="宋体" w:hint="eastAsia"/>
                <w:sz w:val="24"/>
                <w:szCs w:val="24"/>
              </w:rPr>
              <w:t>农业源头减量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备案的规模以上养殖场粪污处理设施配套率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市畜牧业管理局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99.9</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548"/>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9</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left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主要农作物农药利用率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市农业农村局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40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43</w:t>
            </w:r>
          </w:p>
        </w:tc>
      </w:tr>
      <w:tr w:rsidR="005A1ADB">
        <w:trPr>
          <w:trHeight w:val="54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lastRenderedPageBreak/>
              <w:t>10</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主要农作物化肥利用率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市农业农村局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39.2</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43</w:t>
            </w:r>
          </w:p>
        </w:tc>
      </w:tr>
      <w:tr w:rsidR="005A1ADB">
        <w:trPr>
          <w:trHeight w:val="553"/>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11</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建筑业源头减量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绿色建筑占新建建筑的比例★</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市城乡建设委员会</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81.3</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top"/>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539"/>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12</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装配式建筑占新建建筑的比例</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可选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市城乡建设委员会</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21.7</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30</w:t>
            </w:r>
          </w:p>
        </w:tc>
      </w:tr>
      <w:tr w:rsidR="005A1ADB">
        <w:trPr>
          <w:trHeight w:val="419"/>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13</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建筑垃圾专业化清运率</w:t>
            </w:r>
            <w:r>
              <w:rPr>
                <w:rFonts w:ascii="宋体" w:eastAsia="宋体" w:hAnsi="宋体" w:cs="宋体"/>
                <w:sz w:val="24"/>
                <w:szCs w:val="24"/>
                <w:vertAlign w:val="superscript"/>
              </w:rPr>
              <w:t>*</w:t>
            </w:r>
            <w:r>
              <w:rPr>
                <w:rFonts w:ascii="宋体" w:eastAsia="宋体" w:hAnsi="宋体" w:cs="宋体" w:hint="eastAsia"/>
                <w:sz w:val="24"/>
                <w:szCs w:val="24"/>
                <w:vertAlign w:val="superscript"/>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市城市管理局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80</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14</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生活领域源头减量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生活垃圾清运量</w:t>
            </w:r>
            <w:r>
              <w:rPr>
                <w:rFonts w:ascii="宋体" w:eastAsia="宋体" w:hAnsi="宋体" w:cs="宋体"/>
                <w:sz w:val="24"/>
                <w:szCs w:val="24"/>
                <w:vertAlign w:val="superscript"/>
              </w:rPr>
              <w:t>*</w:t>
            </w:r>
            <w:r>
              <w:rPr>
                <w:rFonts w:ascii="宋体" w:eastAsia="宋体" w:hAnsi="宋体" w:cs="宋体" w:hint="eastAsia"/>
                <w:sz w:val="24"/>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市城市管理局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万吨</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171.7</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245</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15</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城市居民小区生活垃圾分类覆盖率</w:t>
            </w:r>
            <w:r>
              <w:rPr>
                <w:rFonts w:ascii="宋体" w:eastAsia="宋体" w:hAnsi="宋体" w:cs="宋体"/>
                <w:sz w:val="24"/>
                <w:szCs w:val="24"/>
                <w:vertAlign w:val="superscript"/>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可选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市城市管理局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16</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餐厨垃圾收集率</w:t>
            </w:r>
            <w:r>
              <w:rPr>
                <w:rFonts w:ascii="宋体" w:eastAsia="宋体" w:hAnsi="宋体" w:cs="宋体"/>
                <w:sz w:val="24"/>
                <w:szCs w:val="24"/>
                <w:vertAlign w:val="superscript"/>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市城市管理局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50</w:t>
            </w:r>
          </w:p>
        </w:tc>
      </w:tr>
      <w:tr w:rsidR="005A1ADB">
        <w:trPr>
          <w:trHeight w:val="408"/>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17</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45mm</w:t>
            </w:r>
            <w:r>
              <w:rPr>
                <w:rFonts w:ascii="宋体" w:eastAsia="宋体" w:hAnsi="宋体" w:cs="宋体" w:hint="eastAsia"/>
                <w:sz w:val="24"/>
                <w:szCs w:val="24"/>
              </w:rPr>
              <w:t>以下“瘦身胶带”封装比例</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市邮政管理局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97.3</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18</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电商快件不再二次包装率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市邮政管理局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82.7</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408"/>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19</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主要品牌快递企业可循环中转袋市内使用率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市邮政管理局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93.9</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408"/>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20</w:t>
            </w:r>
          </w:p>
        </w:tc>
        <w:tc>
          <w:tcPr>
            <w:tcW w:w="4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固体废物资源化利用</w:t>
            </w: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工业固体废物资源化利用</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一般工业固体废物综合利用率★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83.4</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85</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21</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工业危险废物综合利用率★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51.2</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55</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22</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农业固体废物资源化利用</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秸秆综合利用率★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市农业农村局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68.5</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86</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23</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畜禽粪污综合利用率★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市畜牧业管理局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95.1</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kern w:val="0"/>
                <w:sz w:val="24"/>
                <w:szCs w:val="24"/>
              </w:rPr>
              <w:t>8</w:t>
            </w:r>
            <w:r>
              <w:rPr>
                <w:rFonts w:ascii="宋体" w:eastAsia="宋体" w:hAnsi="宋体" w:cs="宋体" w:hint="eastAsia"/>
                <w:kern w:val="0"/>
                <w:sz w:val="24"/>
                <w:szCs w:val="24"/>
              </w:rPr>
              <w:t>5</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24</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农膜回收率★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市农业农村局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78</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85</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25</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农药包装废弃物回收率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可选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市农业农村局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52.5</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95</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26</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化学农药施用量亩均下降幅度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可选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市农业农村局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2</w:t>
            </w:r>
          </w:p>
        </w:tc>
      </w:tr>
      <w:tr w:rsidR="005A1ADB">
        <w:trPr>
          <w:trHeight w:val="639"/>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27</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建筑垃圾资源</w:t>
            </w:r>
            <w:r>
              <w:rPr>
                <w:rFonts w:ascii="宋体" w:eastAsia="宋体" w:hAnsi="宋体" w:cs="宋体" w:hint="eastAsia"/>
                <w:sz w:val="24"/>
                <w:szCs w:val="24"/>
              </w:rPr>
              <w:lastRenderedPageBreak/>
              <w:t>化利用</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lastRenderedPageBreak/>
              <w:t>建筑垃圾资源化利用率</w:t>
            </w:r>
            <w:r>
              <w:rPr>
                <w:rFonts w:ascii="宋体" w:eastAsia="宋体" w:hAnsi="宋体" w:cs="宋体" w:hint="eastAsia"/>
                <w:sz w:val="24"/>
                <w:szCs w:val="24"/>
                <w:vertAlign w:val="superscript"/>
              </w:rPr>
              <w:t>*</w:t>
            </w:r>
            <w:r>
              <w:rPr>
                <w:rFonts w:ascii="宋体" w:eastAsia="宋体" w:hAnsi="宋体" w:cs="宋体" w:hint="eastAsia"/>
                <w:sz w:val="24"/>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市城市管理局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40</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lastRenderedPageBreak/>
              <w:t>28</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生活领域固体废物资源化利用</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生活垃圾回收利用率</w:t>
            </w:r>
            <w:r>
              <w:rPr>
                <w:rFonts w:ascii="宋体" w:eastAsia="宋体" w:hAnsi="宋体" w:cs="宋体" w:hint="eastAsia"/>
                <w:sz w:val="24"/>
                <w:szCs w:val="24"/>
                <w:vertAlign w:val="superscript"/>
              </w:rPr>
              <w:t>*</w:t>
            </w:r>
            <w:r>
              <w:rPr>
                <w:rFonts w:ascii="宋体" w:eastAsia="宋体" w:hAnsi="宋体" w:cs="宋体" w:hint="eastAsia"/>
                <w:sz w:val="24"/>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市城市管理局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25.2</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40</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29</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生活垃圾资源化利用率</w:t>
            </w:r>
            <w:r>
              <w:rPr>
                <w:rFonts w:ascii="宋体" w:eastAsia="宋体" w:hAnsi="宋体" w:cs="宋体" w:hint="eastAsia"/>
                <w:sz w:val="24"/>
                <w:szCs w:val="24"/>
                <w:vertAlign w:val="superscript"/>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市城市管理局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56.7</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63</w:t>
            </w:r>
          </w:p>
        </w:tc>
      </w:tr>
      <w:tr w:rsidR="005A1ADB">
        <w:trPr>
          <w:trHeight w:val="951"/>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30</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医疗卫生机构可回收物回收率★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市卫生健康委</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80.1</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85</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31</w:t>
            </w:r>
          </w:p>
        </w:tc>
        <w:tc>
          <w:tcPr>
            <w:tcW w:w="4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固体废物最终处置</w:t>
            </w: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危险废物处置</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工业危险废物填埋处置量下降幅度★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2</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32</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医疗废物收集处置体系覆盖率★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市卫生健康委</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94.1</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33</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危险废物综合利用处置率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90.2</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95</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34</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县级以上城市建成区医疗废物无害化处置率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市生态环境局、市卫生健康委</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35</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一般工业固体废物贮存处置</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一般工业固体废物贮存处置量下降幅度★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15</w:t>
            </w:r>
          </w:p>
        </w:tc>
      </w:tr>
      <w:tr w:rsidR="005A1ADB">
        <w:trPr>
          <w:trHeight w:val="624"/>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36</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完成大宗工业固体废物堆存场所（含尾矿库）综合整治的堆场数量占比</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可选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37</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农业固体废物处置</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秸秆粪污堆沤场数量</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市畜牧业管理局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处</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376</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400</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38</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病死畜禽集中无害化处理率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可选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市畜牧业管理局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327"/>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39</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生活领域固体废物处置</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生活垃圾焚烧处理能力占比★</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市城市管理局、各县（市、区）政府</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61.9</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89</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40</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城镇污水污泥无害化处置率★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市城乡建设委员会</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41</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村庄生活垃圾分类处理率</w:t>
            </w:r>
            <w:r>
              <w:rPr>
                <w:rFonts w:ascii="宋体" w:eastAsia="宋体" w:hAnsi="宋体" w:cs="宋体" w:hint="eastAsia"/>
                <w:sz w:val="24"/>
                <w:szCs w:val="24"/>
                <w:vertAlign w:val="superscript"/>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市农业农村局、市城市管理局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95</w:t>
            </w:r>
          </w:p>
        </w:tc>
      </w:tr>
      <w:tr w:rsidR="005A1ADB">
        <w:trPr>
          <w:trHeight w:val="936"/>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lastRenderedPageBreak/>
              <w:t>42</w:t>
            </w:r>
          </w:p>
        </w:tc>
        <w:tc>
          <w:tcPr>
            <w:tcW w:w="4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保障能力</w:t>
            </w: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制度体系建设</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“无废城市”建设地方性法规、政策性文件及有关规划制定★</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市生态环境局等各相关部门</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eastAsia="宋体" w:hAnsi="宋体" w:cs="宋体"/>
                <w:sz w:val="24"/>
                <w:szCs w:val="24"/>
              </w:rPr>
            </w:pPr>
            <w:r>
              <w:rPr>
                <w:rFonts w:ascii="宋体" w:eastAsia="宋体" w:hAnsi="宋体" w:cs="宋体" w:hint="eastAsia"/>
                <w:kern w:val="0"/>
                <w:sz w:val="24"/>
                <w:szCs w:val="24"/>
              </w:rPr>
              <w:t>长春市涉及固体废物管理地方性法规、政策性文件、规划出台情况，详见附件</w:t>
            </w:r>
            <w:r>
              <w:rPr>
                <w:rFonts w:ascii="宋体" w:eastAsia="宋体" w:hAnsi="宋体" w:cs="宋体" w:hint="eastAsia"/>
                <w:kern w:val="0"/>
                <w:sz w:val="24"/>
                <w:szCs w:val="24"/>
              </w:rPr>
              <w:t>5</w:t>
            </w:r>
            <w:r>
              <w:rPr>
                <w:rFonts w:ascii="宋体" w:eastAsia="宋体" w:hAnsi="宋体" w:cs="宋体" w:hint="eastAsia"/>
                <w:kern w:val="0"/>
                <w:sz w:val="24"/>
                <w:szCs w:val="24"/>
              </w:rPr>
              <w:t>。</w:t>
            </w:r>
          </w:p>
        </w:tc>
      </w:tr>
      <w:tr w:rsidR="005A1ADB">
        <w:trPr>
          <w:trHeight w:val="624"/>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43</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“无废城市”建设协调机制★</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市委市政府等各相关部门</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eastAsia="宋体" w:hAnsi="宋体" w:cs="宋体"/>
                <w:sz w:val="24"/>
                <w:szCs w:val="24"/>
              </w:rPr>
            </w:pPr>
            <w:r>
              <w:rPr>
                <w:rFonts w:ascii="宋体" w:eastAsia="宋体" w:hAnsi="宋体" w:cs="宋体" w:hint="eastAsia"/>
                <w:kern w:val="0"/>
                <w:sz w:val="24"/>
                <w:szCs w:val="24"/>
              </w:rPr>
              <w:t>成立“无废城市”建设领导小组，建立“无废城市”建设工作专班和协作机制。</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44</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jc w:val="cente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“无废城市”建设成效纳入政绩考核情况</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可选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市委组织部</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5A1ADB">
            <w:pPr>
              <w:jc w:val="center"/>
              <w:rPr>
                <w:rFonts w:ascii="宋体" w:eastAsia="宋体" w:hAnsi="宋体" w:cs="宋体"/>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textAlignment w:val="center"/>
              <w:rPr>
                <w:rFonts w:ascii="宋体" w:eastAsia="宋体" w:hAnsi="宋体" w:cs="宋体"/>
                <w:sz w:val="24"/>
                <w:szCs w:val="24"/>
              </w:rPr>
            </w:pPr>
            <w:r>
              <w:rPr>
                <w:rFonts w:ascii="宋体" w:eastAsia="宋体" w:hAnsi="宋体" w:cs="宋体" w:hint="eastAsia"/>
                <w:kern w:val="0"/>
                <w:sz w:val="24"/>
                <w:szCs w:val="24"/>
              </w:rPr>
              <w:t>将“无废城市”建设重要指标及成效纳入市、县区政府及其组成部门政绩考核。</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45</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市场体</w:t>
            </w:r>
            <w:r>
              <w:rPr>
                <w:rFonts w:ascii="宋体" w:eastAsia="宋体" w:hAnsi="宋体" w:cs="宋体" w:hint="eastAsia"/>
                <w:sz w:val="24"/>
                <w:szCs w:val="24"/>
              </w:rPr>
              <w:lastRenderedPageBreak/>
              <w:t>系建设</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lastRenderedPageBreak/>
              <w:t>“无废城市”建设项目投资总额★</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亿元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kern w:val="0"/>
                <w:sz w:val="24"/>
                <w:szCs w:val="24"/>
              </w:rPr>
              <w:t>408</w:t>
            </w:r>
          </w:p>
        </w:tc>
      </w:tr>
      <w:tr w:rsidR="005A1ADB">
        <w:trPr>
          <w:trHeight w:val="624"/>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lastRenderedPageBreak/>
              <w:t>46</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纳入企业环境信用评价范围的固体废物相关企业数量占比</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可选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1248"/>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lastRenderedPageBreak/>
              <w:t>47</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监管体系建设</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固体废物管理信息化监管情况★</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市生态环境局等各相关部门</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基本建成固体废物（危险废物）管理数据的信息化监管系统，初步实现全过程信息化追溯管理。</w:t>
            </w:r>
          </w:p>
        </w:tc>
        <w:tc>
          <w:tcPr>
            <w:tcW w:w="13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eastAsia="宋体" w:hAnsi="宋体" w:cs="宋体"/>
                <w:sz w:val="24"/>
                <w:szCs w:val="24"/>
              </w:rPr>
            </w:pPr>
            <w:r>
              <w:rPr>
                <w:rFonts w:ascii="宋体" w:eastAsia="宋体" w:hAnsi="宋体" w:cs="宋体" w:hint="eastAsia"/>
                <w:kern w:val="0"/>
                <w:sz w:val="24"/>
                <w:szCs w:val="24"/>
              </w:rPr>
              <w:t>建成覆盖各类固体废物管理数据的信息化监管系统。</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48</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固体废物环境污染刑事案件立案率★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市公安局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49</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涉固体废物信访、投诉、举报案件办结率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可选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50</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工业源危险废物转移电子联单运行率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624"/>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51</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重点危险废物产生和处置企业信息化监控覆盖率</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市生态环境局、市工业和信息化局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约束性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100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100</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52</w:t>
            </w:r>
          </w:p>
        </w:tc>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9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rPr>
                <w:rFonts w:ascii="宋体" w:eastAsia="宋体" w:hAnsi="宋体" w:cs="宋体"/>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危险废物相关重大环境污染事件数量</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自选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市生态环境局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件</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0</w:t>
            </w:r>
          </w:p>
        </w:tc>
      </w:tr>
      <w:tr w:rsidR="005A1ADB">
        <w:trPr>
          <w:trHeight w:val="312"/>
        </w:trPr>
        <w:tc>
          <w:tcPr>
            <w:tcW w:w="4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53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群众获得感</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群众获得感</w:t>
            </w:r>
          </w:p>
        </w:tc>
        <w:tc>
          <w:tcPr>
            <w:tcW w:w="41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公众对“无废城市”建设成效的满意程度★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必选</w:t>
            </w:r>
          </w:p>
        </w:tc>
        <w:tc>
          <w:tcPr>
            <w:tcW w:w="25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第三方调查</w:t>
            </w:r>
          </w:p>
        </w:tc>
        <w:tc>
          <w:tcPr>
            <w:tcW w:w="113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预期性</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rPr>
                <w:rFonts w:ascii="宋体" w:eastAsia="宋体" w:hAnsi="宋体" w:cs="宋体"/>
                <w:sz w:val="24"/>
                <w:szCs w:val="24"/>
              </w:rPr>
            </w:pPr>
            <w:r>
              <w:rPr>
                <w:rFonts w:ascii="宋体" w:eastAsia="宋体" w:hAnsi="宋体" w:cs="宋体" w:hint="eastAsia"/>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left"/>
              <w:rPr>
                <w:rFonts w:ascii="宋体" w:eastAsia="宋体" w:hAnsi="宋体" w:cs="宋体"/>
                <w:sz w:val="24"/>
                <w:szCs w:val="24"/>
              </w:rPr>
            </w:pPr>
            <w:r>
              <w:rPr>
                <w:rFonts w:ascii="宋体" w:eastAsia="宋体" w:hAnsi="宋体" w:cs="宋体" w:hint="eastAsia"/>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sz w:val="24"/>
                <w:szCs w:val="24"/>
              </w:rPr>
            </w:pPr>
            <w:r>
              <w:rPr>
                <w:rFonts w:ascii="宋体" w:eastAsia="宋体" w:hAnsi="宋体" w:cs="宋体" w:hint="eastAsia"/>
                <w:kern w:val="0"/>
                <w:sz w:val="24"/>
                <w:szCs w:val="24"/>
              </w:rPr>
              <w:t>总体满意</w:t>
            </w:r>
          </w:p>
        </w:tc>
      </w:tr>
    </w:tbl>
    <w:p w:rsidR="005A1ADB" w:rsidRDefault="000B6ECF">
      <w:pPr>
        <w:adjustRightInd w:val="0"/>
        <w:snapToGrid w:val="0"/>
        <w:spacing w:line="360" w:lineRule="auto"/>
        <w:rPr>
          <w:i/>
          <w:iCs/>
          <w:sz w:val="28"/>
          <w:szCs w:val="28"/>
        </w:rPr>
      </w:pPr>
      <w:r>
        <w:rPr>
          <w:i/>
          <w:iCs/>
          <w:sz w:val="28"/>
          <w:szCs w:val="28"/>
        </w:rPr>
        <w:lastRenderedPageBreak/>
        <w:t>注：</w:t>
      </w:r>
      <w:r>
        <w:rPr>
          <w:rFonts w:hint="eastAsia"/>
          <w:i/>
          <w:iCs/>
          <w:color w:val="C00000"/>
          <w:sz w:val="28"/>
          <w:szCs w:val="28"/>
        </w:rPr>
        <w:t>[1]</w:t>
      </w:r>
      <w:r>
        <w:rPr>
          <w:rFonts w:hint="eastAsia"/>
          <w:i/>
          <w:iCs/>
          <w:color w:val="C00000"/>
          <w:sz w:val="28"/>
          <w:szCs w:val="28"/>
        </w:rPr>
        <w:t>由于国家、省和市矿产资源总体规划均已取消绿色矿山建设数量指标要求，长春市规自局建议取消绿色矿山建成率指标。如指标保留也将不进行考核；</w:t>
      </w:r>
    </w:p>
    <w:p w:rsidR="005A1ADB" w:rsidRDefault="000B6ECF">
      <w:pPr>
        <w:adjustRightInd w:val="0"/>
        <w:snapToGrid w:val="0"/>
        <w:spacing w:line="360" w:lineRule="auto"/>
      </w:pPr>
      <w:r>
        <w:rPr>
          <w:rFonts w:hint="eastAsia"/>
          <w:i/>
          <w:iCs/>
          <w:sz w:val="28"/>
          <w:szCs w:val="28"/>
        </w:rPr>
        <w:t>[2]*</w:t>
      </w:r>
      <w:r>
        <w:rPr>
          <w:rFonts w:hint="eastAsia"/>
          <w:i/>
          <w:iCs/>
          <w:sz w:val="28"/>
          <w:szCs w:val="28"/>
        </w:rPr>
        <w:t>代表指标统计范围为长春市市区，不含双阳、九台等其他县市区。</w:t>
      </w:r>
    </w:p>
    <w:p w:rsidR="005A1ADB" w:rsidRDefault="005A1ADB">
      <w:pPr>
        <w:sectPr w:rsidR="005A1ADB">
          <w:pgSz w:w="16838" w:h="11906" w:orient="landscape"/>
          <w:pgMar w:top="1800" w:right="1440" w:bottom="1800" w:left="1440" w:header="851" w:footer="992" w:gutter="0"/>
          <w:cols w:space="425"/>
          <w:docGrid w:type="lines" w:linePitch="312"/>
        </w:sectPr>
      </w:pPr>
    </w:p>
    <w:p w:rsidR="005A1ADB" w:rsidRDefault="000B6ECF">
      <w:pPr>
        <w:pStyle w:val="2"/>
        <w:rPr>
          <w:sz w:val="28"/>
        </w:rPr>
      </w:pPr>
      <w:bookmarkStart w:id="64" w:name="_Toc111199990"/>
      <w:bookmarkStart w:id="65" w:name="_Toc104561695"/>
      <w:bookmarkStart w:id="66" w:name="_Toc115079273"/>
      <w:bookmarkStart w:id="67" w:name="_Toc14768"/>
      <w:bookmarkStart w:id="68" w:name="_Toc25897"/>
      <w:r>
        <w:rPr>
          <w:rFonts w:hint="eastAsia"/>
          <w:sz w:val="28"/>
        </w:rPr>
        <w:lastRenderedPageBreak/>
        <w:t>四、主要任务</w:t>
      </w:r>
      <w:bookmarkEnd w:id="64"/>
      <w:bookmarkEnd w:id="65"/>
      <w:bookmarkEnd w:id="66"/>
      <w:bookmarkEnd w:id="67"/>
      <w:bookmarkEnd w:id="68"/>
    </w:p>
    <w:p w:rsidR="005A1ADB" w:rsidRDefault="000B6ECF">
      <w:pPr>
        <w:pStyle w:val="3"/>
        <w:rPr>
          <w:sz w:val="28"/>
        </w:rPr>
      </w:pPr>
      <w:bookmarkStart w:id="69" w:name="_Toc115079274"/>
      <w:bookmarkStart w:id="70" w:name="_Toc26957"/>
      <w:bookmarkStart w:id="71" w:name="_Toc104561697"/>
      <w:bookmarkStart w:id="72" w:name="_Toc111199991"/>
      <w:bookmarkStart w:id="73" w:name="_Toc25644"/>
      <w:r>
        <w:rPr>
          <w:rFonts w:hint="eastAsia"/>
          <w:sz w:val="28"/>
        </w:rPr>
        <w:t xml:space="preserve">4.1 </w:t>
      </w:r>
      <w:r>
        <w:rPr>
          <w:rFonts w:hint="eastAsia"/>
          <w:sz w:val="28"/>
        </w:rPr>
        <w:t>加快工业绿色低碳发展，降低工业固体废物处置压力</w:t>
      </w:r>
      <w:bookmarkEnd w:id="69"/>
      <w:bookmarkEnd w:id="70"/>
      <w:bookmarkEnd w:id="71"/>
      <w:bookmarkEnd w:id="72"/>
      <w:bookmarkEnd w:id="73"/>
    </w:p>
    <w:p w:rsidR="005A1ADB" w:rsidRDefault="000B6ECF">
      <w:pPr>
        <w:pStyle w:val="4"/>
      </w:pPr>
      <w:r>
        <w:rPr>
          <w:rFonts w:hint="eastAsia"/>
        </w:rPr>
        <w:t>4.1.1</w:t>
      </w:r>
      <w:r>
        <w:rPr>
          <w:rFonts w:hint="eastAsia"/>
        </w:rPr>
        <w:t>积极</w:t>
      </w:r>
      <w:r>
        <w:t>构建绿色产业体系</w:t>
      </w:r>
    </w:p>
    <w:p w:rsidR="005A1ADB" w:rsidRDefault="000B6ECF" w:rsidP="00033A19">
      <w:pPr>
        <w:adjustRightInd w:val="0"/>
        <w:snapToGrid w:val="0"/>
        <w:spacing w:line="360" w:lineRule="auto"/>
        <w:ind w:firstLineChars="196" w:firstLine="549"/>
        <w:rPr>
          <w:sz w:val="28"/>
          <w:szCs w:val="28"/>
        </w:rPr>
      </w:pPr>
      <w:r>
        <w:rPr>
          <w:rFonts w:hint="eastAsia"/>
          <w:sz w:val="28"/>
          <w:szCs w:val="28"/>
        </w:rPr>
        <w:t>优化</w:t>
      </w:r>
      <w:r>
        <w:rPr>
          <w:sz w:val="28"/>
          <w:szCs w:val="28"/>
        </w:rPr>
        <w:t>产业结构。</w:t>
      </w:r>
      <w:r>
        <w:rPr>
          <w:rFonts w:hint="eastAsia"/>
          <w:sz w:val="28"/>
          <w:szCs w:val="28"/>
        </w:rPr>
        <w:t>推动落后产能淘汰，促进产业高质量发展。</w:t>
      </w:r>
      <w:r>
        <w:rPr>
          <w:sz w:val="28"/>
          <w:szCs w:val="28"/>
        </w:rPr>
        <w:t>加快</w:t>
      </w:r>
      <w:r>
        <w:rPr>
          <w:rFonts w:hint="eastAsia"/>
          <w:sz w:val="28"/>
          <w:szCs w:val="28"/>
        </w:rPr>
        <w:t>推进</w:t>
      </w:r>
      <w:r>
        <w:rPr>
          <w:sz w:val="28"/>
          <w:szCs w:val="28"/>
        </w:rPr>
        <w:t>优势特色产业赋能升级，</w:t>
      </w:r>
      <w:r>
        <w:rPr>
          <w:rFonts w:hint="eastAsia"/>
          <w:sz w:val="28"/>
          <w:szCs w:val="28"/>
        </w:rPr>
        <w:t>引导</w:t>
      </w:r>
      <w:r>
        <w:rPr>
          <w:sz w:val="28"/>
          <w:szCs w:val="28"/>
        </w:rPr>
        <w:t>汽车、电子等传统优势产业绿色化发展</w:t>
      </w:r>
      <w:r>
        <w:rPr>
          <w:rFonts w:hint="eastAsia"/>
          <w:sz w:val="28"/>
          <w:szCs w:val="28"/>
        </w:rPr>
        <w:t>转型</w:t>
      </w:r>
      <w:r>
        <w:rPr>
          <w:sz w:val="28"/>
          <w:szCs w:val="28"/>
        </w:rPr>
        <w:t>。</w:t>
      </w:r>
      <w:r>
        <w:rPr>
          <w:rFonts w:hint="eastAsia"/>
          <w:sz w:val="28"/>
          <w:szCs w:val="28"/>
        </w:rPr>
        <w:t>大力</w:t>
      </w:r>
      <w:r>
        <w:rPr>
          <w:sz w:val="28"/>
          <w:szCs w:val="28"/>
        </w:rPr>
        <w:t>发展新能源、</w:t>
      </w:r>
      <w:r>
        <w:rPr>
          <w:rFonts w:hint="eastAsia"/>
          <w:sz w:val="28"/>
          <w:szCs w:val="28"/>
        </w:rPr>
        <w:t>新材料</w:t>
      </w:r>
      <w:r>
        <w:rPr>
          <w:sz w:val="28"/>
          <w:szCs w:val="28"/>
        </w:rPr>
        <w:t>、</w:t>
      </w:r>
      <w:r>
        <w:rPr>
          <w:rFonts w:hint="eastAsia"/>
          <w:sz w:val="28"/>
          <w:szCs w:val="28"/>
        </w:rPr>
        <w:t>高端装备、生物医药、节能环保</w:t>
      </w:r>
      <w:r>
        <w:rPr>
          <w:sz w:val="28"/>
          <w:szCs w:val="28"/>
        </w:rPr>
        <w:t>、生物质产业等战略性新兴产业。</w:t>
      </w:r>
      <w:r>
        <w:rPr>
          <w:rFonts w:hint="eastAsia"/>
          <w:sz w:val="28"/>
          <w:szCs w:val="28"/>
        </w:rPr>
        <w:t>依托现有汽车产业发展优势条件</w:t>
      </w:r>
      <w:r>
        <w:rPr>
          <w:sz w:val="28"/>
          <w:szCs w:val="28"/>
        </w:rPr>
        <w:t>，加强绿色汽车产品研发及生产。</w:t>
      </w:r>
      <w:r>
        <w:rPr>
          <w:rFonts w:hint="eastAsia"/>
          <w:sz w:val="28"/>
          <w:szCs w:val="28"/>
        </w:rPr>
        <w:t>通过优化产业结构，实现工业固体废物源头减量。</w:t>
      </w:r>
      <w:r>
        <w:rPr>
          <w:sz w:val="28"/>
          <w:szCs w:val="28"/>
        </w:rPr>
        <w:t>（</w:t>
      </w:r>
      <w:r>
        <w:rPr>
          <w:rFonts w:hint="eastAsia"/>
          <w:sz w:val="28"/>
          <w:szCs w:val="28"/>
        </w:rPr>
        <w:t>责任单位：市发改委、市工信局、市生态环境局</w:t>
      </w:r>
      <w:r>
        <w:rPr>
          <w:sz w:val="28"/>
          <w:szCs w:val="28"/>
        </w:rPr>
        <w:t>）</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坚持</w:t>
      </w:r>
      <w:r>
        <w:rPr>
          <w:sz w:val="28"/>
          <w:szCs w:val="28"/>
        </w:rPr>
        <w:t>绿色生产。</w:t>
      </w:r>
      <w:r>
        <w:rPr>
          <w:rFonts w:hint="eastAsia"/>
          <w:sz w:val="28"/>
          <w:szCs w:val="28"/>
        </w:rPr>
        <w:t>以绿色低碳产业集聚区建设为依托，</w:t>
      </w:r>
      <w:r>
        <w:rPr>
          <w:sz w:val="28"/>
          <w:szCs w:val="28"/>
        </w:rPr>
        <w:t>将绿色低碳理念有机融入</w:t>
      </w:r>
      <w:r>
        <w:rPr>
          <w:rFonts w:hint="eastAsia"/>
          <w:sz w:val="28"/>
          <w:szCs w:val="28"/>
        </w:rPr>
        <w:t>工业</w:t>
      </w:r>
      <w:r>
        <w:rPr>
          <w:sz w:val="28"/>
          <w:szCs w:val="28"/>
        </w:rPr>
        <w:t>生产全过程。</w:t>
      </w:r>
      <w:r>
        <w:rPr>
          <w:rFonts w:hint="eastAsia"/>
          <w:sz w:val="28"/>
          <w:szCs w:val="28"/>
        </w:rPr>
        <w:t>构建绿色低碳产业体系，重点发展“双碳”支撑产业，</w:t>
      </w:r>
      <w:r>
        <w:rPr>
          <w:sz w:val="28"/>
          <w:szCs w:val="28"/>
        </w:rPr>
        <w:t>加快推进绿色设计，带动绿色工厂、绿色产品、绿色园区和绿色供应链全面</w:t>
      </w:r>
      <w:r>
        <w:rPr>
          <w:rFonts w:hint="eastAsia"/>
          <w:sz w:val="28"/>
          <w:szCs w:val="28"/>
        </w:rPr>
        <w:t>发展</w:t>
      </w:r>
      <w:r>
        <w:rPr>
          <w:sz w:val="28"/>
          <w:szCs w:val="28"/>
        </w:rPr>
        <w:t>。以</w:t>
      </w:r>
      <w:r>
        <w:rPr>
          <w:sz w:val="28"/>
          <w:szCs w:val="28"/>
        </w:rPr>
        <w:t>“</w:t>
      </w:r>
      <w:r>
        <w:rPr>
          <w:sz w:val="28"/>
          <w:szCs w:val="28"/>
        </w:rPr>
        <w:t>无废园区</w:t>
      </w:r>
      <w:r>
        <w:rPr>
          <w:sz w:val="28"/>
          <w:szCs w:val="28"/>
        </w:rPr>
        <w:t>”</w:t>
      </w:r>
      <w:r>
        <w:rPr>
          <w:sz w:val="28"/>
          <w:szCs w:val="28"/>
        </w:rPr>
        <w:t>建设为载体，</w:t>
      </w:r>
      <w:r>
        <w:rPr>
          <w:rFonts w:hint="eastAsia"/>
          <w:sz w:val="28"/>
          <w:szCs w:val="28"/>
        </w:rPr>
        <w:t>遵循厂房集约化、生产洁净化、废物资源化、能源低碳化原则，积极探索并分类创建“绿色工厂”，</w:t>
      </w:r>
      <w:r>
        <w:rPr>
          <w:sz w:val="28"/>
          <w:szCs w:val="28"/>
        </w:rPr>
        <w:t>推动工业固体废物源头减量和资源</w:t>
      </w:r>
      <w:r>
        <w:rPr>
          <w:rFonts w:hint="eastAsia"/>
          <w:sz w:val="28"/>
          <w:szCs w:val="28"/>
        </w:rPr>
        <w:t>化</w:t>
      </w:r>
      <w:r>
        <w:rPr>
          <w:sz w:val="28"/>
          <w:szCs w:val="28"/>
        </w:rPr>
        <w:t>利用。（</w:t>
      </w:r>
      <w:r>
        <w:rPr>
          <w:rFonts w:hint="eastAsia"/>
          <w:sz w:val="28"/>
          <w:szCs w:val="28"/>
        </w:rPr>
        <w:t>责任单位：市工信局、市生态环境局</w:t>
      </w:r>
      <w:r>
        <w:rPr>
          <w:sz w:val="28"/>
          <w:szCs w:val="28"/>
        </w:rPr>
        <w:t>）</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强化绿色制造。以深化绿色制造产业发展为手段，积极转变传统制造业生产方式，降低</w:t>
      </w:r>
      <w:r>
        <w:rPr>
          <w:sz w:val="28"/>
          <w:szCs w:val="28"/>
        </w:rPr>
        <w:t>工业固体废物源头</w:t>
      </w:r>
      <w:r>
        <w:rPr>
          <w:rFonts w:hint="eastAsia"/>
          <w:sz w:val="28"/>
          <w:szCs w:val="28"/>
        </w:rPr>
        <w:t>产量。对创建绿色工厂、绿色产品和绿色供应链，实施绿色改造项目的企业给予支持。构建市场导向的绿色技术创新体系，强化节能降耗减污增效，支持工业绿色转型发展示范项目建设。（责任单位：市工信局、市发改委、市财政局、市金融办、人民银行长春中心支行和吉林银保监局）</w:t>
      </w:r>
    </w:p>
    <w:p w:rsidR="005A1ADB" w:rsidRDefault="000B6ECF">
      <w:pPr>
        <w:pStyle w:val="4"/>
      </w:pPr>
      <w:bookmarkStart w:id="74" w:name="_Toc18674"/>
      <w:r>
        <w:rPr>
          <w:rFonts w:hint="eastAsia"/>
        </w:rPr>
        <w:lastRenderedPageBreak/>
        <w:t>4</w:t>
      </w:r>
      <w:r>
        <w:rPr>
          <w:rFonts w:hint="eastAsia"/>
        </w:rPr>
        <w:t>.1.2</w:t>
      </w:r>
      <w:r>
        <w:t>促进</w:t>
      </w:r>
      <w:r>
        <w:rPr>
          <w:rFonts w:hint="eastAsia"/>
        </w:rPr>
        <w:t>工业</w:t>
      </w:r>
      <w:r>
        <w:t>生产</w:t>
      </w:r>
      <w:bookmarkEnd w:id="74"/>
      <w:r>
        <w:rPr>
          <w:rFonts w:hint="eastAsia"/>
        </w:rPr>
        <w:t>减污降碳</w:t>
      </w:r>
    </w:p>
    <w:p w:rsidR="005A1ADB" w:rsidRDefault="000B6ECF" w:rsidP="00033A19">
      <w:pPr>
        <w:adjustRightInd w:val="0"/>
        <w:snapToGrid w:val="0"/>
        <w:spacing w:line="360" w:lineRule="auto"/>
        <w:ind w:firstLineChars="196" w:firstLine="549"/>
        <w:rPr>
          <w:sz w:val="28"/>
          <w:szCs w:val="28"/>
        </w:rPr>
      </w:pPr>
      <w:r>
        <w:rPr>
          <w:sz w:val="28"/>
          <w:szCs w:val="28"/>
        </w:rPr>
        <w:t>推动工业领域绿色低碳发展。推动工业能源消费结构低碳化转型，</w:t>
      </w:r>
      <w:r>
        <w:rPr>
          <w:rFonts w:hint="eastAsia"/>
          <w:sz w:val="28"/>
          <w:szCs w:val="28"/>
        </w:rPr>
        <w:t>推进工业炉窑落后产能淘汰、升级改造和清洁能源替代</w:t>
      </w:r>
      <w:r>
        <w:rPr>
          <w:sz w:val="28"/>
          <w:szCs w:val="28"/>
        </w:rPr>
        <w:t>，</w:t>
      </w:r>
      <w:r>
        <w:rPr>
          <w:rFonts w:hint="eastAsia"/>
          <w:sz w:val="28"/>
          <w:szCs w:val="28"/>
        </w:rPr>
        <w:t>建设</w:t>
      </w:r>
      <w:r>
        <w:rPr>
          <w:sz w:val="28"/>
          <w:szCs w:val="28"/>
        </w:rPr>
        <w:t>一批具有示范带动作用的</w:t>
      </w:r>
      <w:r>
        <w:rPr>
          <w:rFonts w:hint="eastAsia"/>
          <w:sz w:val="28"/>
          <w:szCs w:val="28"/>
        </w:rPr>
        <w:t>零碳工厂</w:t>
      </w:r>
      <w:r>
        <w:rPr>
          <w:sz w:val="28"/>
          <w:szCs w:val="28"/>
        </w:rPr>
        <w:t>。开展工业企业绿色设计示范，加快智能化、轻量化、无害化、易回收、长寿命工业产品研发和推广应用。</w:t>
      </w:r>
      <w:r>
        <w:rPr>
          <w:rFonts w:hint="eastAsia"/>
          <w:sz w:val="28"/>
          <w:szCs w:val="28"/>
        </w:rPr>
        <w:t>从而有效激活工业固体废物源头减量和资源化利用作用，实现减污降碳。（责任单位：市生态环境局、市工信局）</w:t>
      </w:r>
    </w:p>
    <w:p w:rsidR="005A1ADB" w:rsidRDefault="000B6ECF" w:rsidP="00033A19">
      <w:pPr>
        <w:adjustRightInd w:val="0"/>
        <w:snapToGrid w:val="0"/>
        <w:spacing w:line="360" w:lineRule="auto"/>
        <w:ind w:firstLineChars="196" w:firstLine="549"/>
        <w:rPr>
          <w:sz w:val="28"/>
          <w:szCs w:val="28"/>
        </w:rPr>
      </w:pPr>
      <w:r>
        <w:rPr>
          <w:sz w:val="28"/>
          <w:szCs w:val="28"/>
        </w:rPr>
        <w:t>推进重点行业清洁低碳改造。</w:t>
      </w:r>
      <w:r>
        <w:rPr>
          <w:rFonts w:hint="eastAsia"/>
          <w:sz w:val="28"/>
          <w:szCs w:val="28"/>
        </w:rPr>
        <w:t>加快淘汰落后产能全面开展清洁生产审核和评价，推动钢铁、有色、化工、建材、电力、煤炭、石油、化学原料药、电镀、农副食品加</w:t>
      </w:r>
      <w:r>
        <w:rPr>
          <w:rFonts w:hint="eastAsia"/>
          <w:sz w:val="28"/>
          <w:szCs w:val="28"/>
        </w:rPr>
        <w:t>工、工业涂装、包装印刷等重点行业</w:t>
      </w:r>
      <w:r>
        <w:rPr>
          <w:rFonts w:hint="eastAsia"/>
          <w:sz w:val="28"/>
          <w:szCs w:val="28"/>
        </w:rPr>
        <w:t>“</w:t>
      </w:r>
      <w:r>
        <w:rPr>
          <w:rFonts w:hint="eastAsia"/>
          <w:sz w:val="28"/>
          <w:szCs w:val="28"/>
        </w:rPr>
        <w:t>一行一策”行绿色转型升级，加快存量企业及园区实施节能、节水、节材、减污、降碳等系统性清洁生产改造。</w:t>
      </w:r>
      <w:r>
        <w:rPr>
          <w:sz w:val="28"/>
          <w:szCs w:val="28"/>
        </w:rPr>
        <w:t>开展包装印刷和工业涂装行业的工艺改造和原料替代工作。</w:t>
      </w:r>
      <w:r>
        <w:rPr>
          <w:rFonts w:hint="eastAsia"/>
          <w:sz w:val="28"/>
          <w:szCs w:val="28"/>
        </w:rPr>
        <w:t>（责任单位：市工信局、市发改委）</w:t>
      </w:r>
    </w:p>
    <w:p w:rsidR="005A1ADB" w:rsidRDefault="000B6ECF" w:rsidP="00033A19">
      <w:pPr>
        <w:adjustRightInd w:val="0"/>
        <w:snapToGrid w:val="0"/>
        <w:spacing w:line="360" w:lineRule="auto"/>
        <w:ind w:firstLineChars="196" w:firstLine="549"/>
        <w:rPr>
          <w:sz w:val="28"/>
          <w:szCs w:val="28"/>
        </w:rPr>
      </w:pPr>
      <w:r>
        <w:rPr>
          <w:rFonts w:hint="eastAsia"/>
          <w:sz w:val="28"/>
          <w:szCs w:val="28"/>
        </w:rPr>
        <w:t>严格控制“两高”项目。以“三线一单”为抓手，严格项目准入，严控高耗能、高排放项目盲目上马，实现源头减量。加强“两高”行业耗煤管控，加快煤炭、建材等行业化解过剩产能和淘汰落后产能，促进现存“两高”行业的提质增效。推进工业结构优化升级，减少煤炭消费需求。（责任单位：市发改委、市工信局、市生态环境局</w:t>
      </w:r>
      <w:r>
        <w:rPr>
          <w:rFonts w:hint="eastAsia"/>
          <w:sz w:val="28"/>
          <w:szCs w:val="28"/>
        </w:rPr>
        <w:t>）</w:t>
      </w:r>
    </w:p>
    <w:p w:rsidR="005A1ADB" w:rsidRDefault="000B6ECF">
      <w:pPr>
        <w:pStyle w:val="4"/>
        <w:tabs>
          <w:tab w:val="center" w:pos="4153"/>
        </w:tabs>
      </w:pPr>
      <w:bookmarkStart w:id="75" w:name="_Toc6816"/>
      <w:r>
        <w:rPr>
          <w:rFonts w:hint="eastAsia"/>
        </w:rPr>
        <w:t>4.1.3</w:t>
      </w:r>
      <w:r>
        <w:t>加强利用处置能力建设</w:t>
      </w:r>
      <w:bookmarkEnd w:id="75"/>
      <w:r>
        <w:tab/>
      </w:r>
    </w:p>
    <w:p w:rsidR="005A1ADB" w:rsidRDefault="000B6ECF" w:rsidP="00033A19">
      <w:pPr>
        <w:adjustRightInd w:val="0"/>
        <w:snapToGrid w:val="0"/>
        <w:spacing w:line="360" w:lineRule="auto"/>
        <w:ind w:firstLineChars="196" w:firstLine="549"/>
        <w:rPr>
          <w:sz w:val="28"/>
          <w:szCs w:val="28"/>
        </w:rPr>
      </w:pPr>
      <w:r>
        <w:rPr>
          <w:rFonts w:hint="eastAsia"/>
          <w:sz w:val="28"/>
          <w:szCs w:val="28"/>
        </w:rPr>
        <w:t>拓宽工业固废综合利用渠道。强调技术创新与科技创新，积极探索</w:t>
      </w:r>
      <w:r>
        <w:rPr>
          <w:sz w:val="28"/>
          <w:szCs w:val="28"/>
        </w:rPr>
        <w:t>工业固体废物资源化利用</w:t>
      </w:r>
      <w:r>
        <w:rPr>
          <w:rFonts w:hint="eastAsia"/>
          <w:sz w:val="28"/>
          <w:szCs w:val="28"/>
        </w:rPr>
        <w:t>新方式，探索培养新型</w:t>
      </w:r>
      <w:r>
        <w:rPr>
          <w:sz w:val="28"/>
          <w:szCs w:val="28"/>
        </w:rPr>
        <w:t>工业固体废物资源化利用</w:t>
      </w:r>
      <w:r>
        <w:rPr>
          <w:rFonts w:hint="eastAsia"/>
          <w:sz w:val="28"/>
          <w:szCs w:val="28"/>
        </w:rPr>
        <w:t>产业链条。</w:t>
      </w:r>
      <w:r>
        <w:rPr>
          <w:sz w:val="28"/>
          <w:szCs w:val="28"/>
        </w:rPr>
        <w:t>组织开展工业固体废物资源综合利用评价工作，积极培育固体废物资源化利用骨干企业，实施示范引领行动，形成创新引领、产业带动和降碳示范效应，减少固体废物贮存量。</w:t>
      </w:r>
      <w:r>
        <w:rPr>
          <w:rFonts w:hint="eastAsia"/>
          <w:sz w:val="28"/>
          <w:szCs w:val="28"/>
        </w:rPr>
        <w:t>依托循环经</w:t>
      </w:r>
      <w:r>
        <w:rPr>
          <w:rFonts w:hint="eastAsia"/>
          <w:sz w:val="28"/>
          <w:szCs w:val="28"/>
        </w:rPr>
        <w:lastRenderedPageBreak/>
        <w:t>济产业开发区</w:t>
      </w:r>
      <w:r>
        <w:rPr>
          <w:sz w:val="28"/>
          <w:szCs w:val="28"/>
        </w:rPr>
        <w:t>，通过生产绿色建材、高效提取有价组分等途径提高综合利用质量，打造一批工业固体废物综合利用示范项目。</w:t>
      </w:r>
      <w:r>
        <w:rPr>
          <w:rFonts w:hint="eastAsia"/>
          <w:sz w:val="28"/>
          <w:szCs w:val="28"/>
        </w:rPr>
        <w:t>落实工业固体废物资源综合利用税收优惠政策。（责任单位：市工信局、市生</w:t>
      </w:r>
      <w:r>
        <w:rPr>
          <w:rFonts w:hint="eastAsia"/>
          <w:sz w:val="28"/>
          <w:szCs w:val="28"/>
        </w:rPr>
        <w:t>态环境局、市科技局、市税务局、市财政局、市城市管理局）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完善基础设施配套建设。以现有工业固体废物处理设施为基础，全面提升处理设施配套和建设力度，补足缺口。引导并</w:t>
      </w:r>
      <w:r>
        <w:rPr>
          <w:sz w:val="28"/>
          <w:szCs w:val="28"/>
        </w:rPr>
        <w:t>鼓励燃煤发电厂、水泥、建材、钢铁等行业企业开展低值工业固体废物的协同利用处置，提升工业固体废物无害化处置能力。</w:t>
      </w:r>
      <w:r>
        <w:rPr>
          <w:rFonts w:hint="eastAsia"/>
          <w:sz w:val="28"/>
          <w:szCs w:val="28"/>
        </w:rPr>
        <w:t>加快国家级长春宽城资源循环利用基地建设，谋划实施循环经济开发区大宗固体废弃物综合利用项目，持续完善基础设施配套建设。（责任单位：市发改委、市工信局、市城市管理局）</w:t>
      </w:r>
    </w:p>
    <w:p w:rsidR="005A1ADB" w:rsidRDefault="000B6ECF">
      <w:pPr>
        <w:pStyle w:val="4"/>
      </w:pPr>
      <w:bookmarkStart w:id="76" w:name="_Toc8983"/>
      <w:r>
        <w:rPr>
          <w:rFonts w:hint="eastAsia"/>
        </w:rPr>
        <w:t>4.1.4</w:t>
      </w:r>
      <w:r>
        <w:rPr>
          <w:rFonts w:hint="eastAsia"/>
        </w:rPr>
        <w:t>建立全流程闭环管理</w:t>
      </w:r>
      <w:bookmarkEnd w:id="76"/>
      <w:r>
        <w:rPr>
          <w:rFonts w:hint="eastAsia"/>
        </w:rPr>
        <w:t>模式</w:t>
      </w:r>
    </w:p>
    <w:p w:rsidR="005A1ADB" w:rsidRDefault="000B6ECF" w:rsidP="00033A19">
      <w:pPr>
        <w:adjustRightInd w:val="0"/>
        <w:snapToGrid w:val="0"/>
        <w:spacing w:line="360" w:lineRule="auto"/>
        <w:ind w:firstLineChars="196" w:firstLine="549"/>
        <w:rPr>
          <w:sz w:val="28"/>
          <w:szCs w:val="28"/>
        </w:rPr>
      </w:pPr>
      <w:r>
        <w:rPr>
          <w:rFonts w:hint="eastAsia"/>
          <w:sz w:val="28"/>
          <w:szCs w:val="28"/>
        </w:rPr>
        <w:t>提升</w:t>
      </w:r>
      <w:r>
        <w:rPr>
          <w:sz w:val="28"/>
          <w:szCs w:val="28"/>
        </w:rPr>
        <w:t>工业固体废物排污</w:t>
      </w:r>
      <w:r>
        <w:rPr>
          <w:rFonts w:hint="eastAsia"/>
          <w:sz w:val="28"/>
          <w:szCs w:val="28"/>
        </w:rPr>
        <w:t>管控力度</w:t>
      </w:r>
      <w:r>
        <w:rPr>
          <w:sz w:val="28"/>
          <w:szCs w:val="28"/>
        </w:rPr>
        <w:t>。</w:t>
      </w:r>
      <w:r>
        <w:rPr>
          <w:rFonts w:hint="eastAsia"/>
          <w:sz w:val="28"/>
          <w:szCs w:val="28"/>
        </w:rPr>
        <w:t>加强审批部门对</w:t>
      </w:r>
      <w:r>
        <w:rPr>
          <w:rFonts w:hint="eastAsia"/>
          <w:sz w:val="28"/>
          <w:szCs w:val="28"/>
        </w:rPr>
        <w:t>产废单位的排污许可审批管控，严把审批关。建立</w:t>
      </w:r>
      <w:r>
        <w:rPr>
          <w:sz w:val="28"/>
          <w:szCs w:val="28"/>
        </w:rPr>
        <w:t>工业固体废物的种类、数量、流向、贮存、利用、处置</w:t>
      </w:r>
      <w:r>
        <w:rPr>
          <w:rFonts w:hint="eastAsia"/>
          <w:sz w:val="28"/>
          <w:szCs w:val="28"/>
        </w:rPr>
        <w:t>全链条闭环管理流程，加大经营性固体废物运输环节管控力度，严查无危险废物道路运输资质企业从事危险废物运输的行为。（责任单位：市交通运输局、市生态环境局</w:t>
      </w:r>
      <w:r>
        <w:rPr>
          <w:rFonts w:hint="eastAsia"/>
          <w:color w:val="FF0000"/>
          <w:sz w:val="28"/>
          <w:szCs w:val="28"/>
        </w:rPr>
        <w:t>、市卫生健康委</w:t>
      </w:r>
      <w:r>
        <w:rPr>
          <w:rFonts w:hint="eastAsia"/>
          <w:sz w:val="28"/>
          <w:szCs w:val="28"/>
        </w:rPr>
        <w:t>）</w:t>
      </w:r>
    </w:p>
    <w:p w:rsidR="005A1ADB" w:rsidRDefault="000B6ECF" w:rsidP="00033A19">
      <w:pPr>
        <w:adjustRightInd w:val="0"/>
        <w:snapToGrid w:val="0"/>
        <w:spacing w:line="360" w:lineRule="auto"/>
        <w:ind w:firstLineChars="196" w:firstLine="549"/>
        <w:rPr>
          <w:sz w:val="28"/>
          <w:szCs w:val="28"/>
        </w:rPr>
      </w:pPr>
      <w:r>
        <w:rPr>
          <w:sz w:val="28"/>
          <w:szCs w:val="28"/>
        </w:rPr>
        <w:t>建立</w:t>
      </w:r>
      <w:r>
        <w:rPr>
          <w:rFonts w:hint="eastAsia"/>
          <w:sz w:val="28"/>
          <w:szCs w:val="28"/>
        </w:rPr>
        <w:t>工业固体废物</w:t>
      </w:r>
      <w:r>
        <w:rPr>
          <w:sz w:val="28"/>
          <w:szCs w:val="28"/>
        </w:rPr>
        <w:t>长效管理机制。</w:t>
      </w:r>
      <w:r>
        <w:rPr>
          <w:rFonts w:hint="eastAsia"/>
          <w:sz w:val="28"/>
          <w:szCs w:val="28"/>
        </w:rPr>
        <w:t>落实固体废物违法有奖举报制度，建立完善网格化的巡查机制。进一步完善环境保护税征管协作机制，严厉查处直接向环境排放固体废物的违法行为，依法征收环境保护税。强化行政执法与刑事司法、检察公益诉讼的协调联动，实施环境违法黑名单和产业</w:t>
      </w:r>
      <w:r>
        <w:rPr>
          <w:rFonts w:hint="eastAsia"/>
          <w:sz w:val="28"/>
          <w:szCs w:val="28"/>
        </w:rPr>
        <w:t>禁入制度，形成环境执法高压震慑态势。（责任单位：市生态环境局、市公安局、市司法局、</w:t>
      </w:r>
      <w:r>
        <w:rPr>
          <w:rFonts w:hint="eastAsia"/>
          <w:color w:val="FF0000"/>
          <w:sz w:val="28"/>
          <w:szCs w:val="28"/>
        </w:rPr>
        <w:t>市卫生健康委、</w:t>
      </w:r>
      <w:r>
        <w:rPr>
          <w:rFonts w:hint="eastAsia"/>
          <w:sz w:val="28"/>
          <w:szCs w:val="28"/>
        </w:rPr>
        <w:t>市税务</w:t>
      </w:r>
      <w:r>
        <w:rPr>
          <w:rFonts w:hint="eastAsia"/>
          <w:sz w:val="28"/>
          <w:szCs w:val="28"/>
        </w:rPr>
        <w:lastRenderedPageBreak/>
        <w:t>局、市法院、市检察院）</w:t>
      </w:r>
    </w:p>
    <w:p w:rsidR="005A1ADB" w:rsidRDefault="000B6ECF">
      <w:pPr>
        <w:pStyle w:val="3"/>
        <w:rPr>
          <w:sz w:val="28"/>
        </w:rPr>
      </w:pPr>
      <w:bookmarkStart w:id="77" w:name="_Toc9754"/>
      <w:bookmarkStart w:id="78" w:name="_Toc25920"/>
      <w:bookmarkStart w:id="79" w:name="_Toc115079275"/>
      <w:bookmarkStart w:id="80" w:name="_Toc104561698"/>
      <w:bookmarkStart w:id="81" w:name="_Toc111199992"/>
      <w:r>
        <w:rPr>
          <w:rFonts w:hint="eastAsia"/>
          <w:sz w:val="28"/>
        </w:rPr>
        <w:t xml:space="preserve">4.2 </w:t>
      </w:r>
      <w:r>
        <w:rPr>
          <w:rFonts w:hint="eastAsia"/>
          <w:sz w:val="28"/>
        </w:rPr>
        <w:t>促进农业农村绿色低碳发展，提升主要农业固体废物综合利用水平</w:t>
      </w:r>
      <w:bookmarkEnd w:id="77"/>
      <w:bookmarkEnd w:id="78"/>
      <w:bookmarkEnd w:id="79"/>
      <w:bookmarkEnd w:id="80"/>
      <w:bookmarkEnd w:id="81"/>
    </w:p>
    <w:p w:rsidR="005A1ADB" w:rsidRDefault="000B6ECF">
      <w:pPr>
        <w:pStyle w:val="4"/>
      </w:pPr>
      <w:r>
        <w:rPr>
          <w:rFonts w:hint="eastAsia"/>
        </w:rPr>
        <w:t>4.2.1</w:t>
      </w:r>
      <w:r>
        <w:rPr>
          <w:rFonts w:hint="eastAsia"/>
        </w:rPr>
        <w:t>创新绿色农业发展方式</w:t>
      </w:r>
    </w:p>
    <w:p w:rsidR="005A1ADB" w:rsidRDefault="000B6ECF" w:rsidP="00033A19">
      <w:pPr>
        <w:adjustRightInd w:val="0"/>
        <w:snapToGrid w:val="0"/>
        <w:spacing w:line="360" w:lineRule="auto"/>
        <w:ind w:firstLineChars="196" w:firstLine="549"/>
        <w:rPr>
          <w:sz w:val="28"/>
          <w:szCs w:val="28"/>
        </w:rPr>
      </w:pPr>
      <w:r>
        <w:rPr>
          <w:rFonts w:hint="eastAsia"/>
          <w:sz w:val="28"/>
          <w:szCs w:val="28"/>
        </w:rPr>
        <w:t>推进全域标准化生产，助力农业废弃物源头减量。健全完善全市农业标准体系，突出农产品产地环境保护、生产过程控制、收储运管理等关键环节，建立农业标准化生产技术规程体系，实现农业生产产前、产中、产后各环节有标可依，积极推行减量化生产和清洁生产技术，促进农药包装废弃物等农业投入品的源头减量。（责任单位：市农业农村局、市生态环境局、市市场监督管理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t>打造现代农业示范区，发展生态休闲观光农业。充分发挥集种植养殖、农事体验、休闲观光、文化传承等于一体的特色生态休闲观光农业优势，加快培育休闲农业和乡村旅游、农业特色小镇等发</w:t>
      </w:r>
      <w:r>
        <w:rPr>
          <w:rFonts w:hint="eastAsia"/>
          <w:sz w:val="28"/>
          <w:szCs w:val="28"/>
        </w:rPr>
        <w:t>展亮点，转变农业产业发展结构，降低农业固体废物源头产量，优化资源化处理方式，实现产业优化、废物减化双向发展目标。（责任单位：市农业农村局）</w:t>
      </w:r>
    </w:p>
    <w:p w:rsidR="005A1ADB" w:rsidRDefault="000B6ECF" w:rsidP="00033A19">
      <w:pPr>
        <w:adjustRightInd w:val="0"/>
        <w:snapToGrid w:val="0"/>
        <w:spacing w:line="360" w:lineRule="auto"/>
        <w:ind w:firstLineChars="196" w:firstLine="549"/>
        <w:rPr>
          <w:sz w:val="28"/>
          <w:szCs w:val="28"/>
        </w:rPr>
      </w:pPr>
      <w:r>
        <w:rPr>
          <w:sz w:val="28"/>
          <w:szCs w:val="28"/>
        </w:rPr>
        <w:t>推进畜禽养殖标准化建设。以建立种养循环发展机制为核心，以规模养殖场为重点，加强养殖场环保配套设施建设与运维，促进畜禽粪污综合利用。推进规模化、标准化养殖场建设改造，鼓励畜禽养殖数字化管理，加快畜牧业转型升级和绿色发展，推动农业领域碳达峰碳中和。</w:t>
      </w:r>
      <w:r>
        <w:rPr>
          <w:rFonts w:hint="eastAsia"/>
          <w:sz w:val="28"/>
          <w:szCs w:val="28"/>
        </w:rPr>
        <w:t>（责任单位：市畜牧局、市农业农村局、市生态环境局）</w:t>
      </w:r>
    </w:p>
    <w:p w:rsidR="005A1ADB" w:rsidRDefault="000B6ECF">
      <w:pPr>
        <w:pStyle w:val="4"/>
      </w:pPr>
      <w:bookmarkStart w:id="82" w:name="_Toc27331"/>
      <w:r>
        <w:rPr>
          <w:rFonts w:hint="eastAsia"/>
        </w:rPr>
        <w:lastRenderedPageBreak/>
        <w:t>4.2.2</w:t>
      </w:r>
      <w:r>
        <w:t>完善废弃物收储运体系</w:t>
      </w:r>
      <w:bookmarkEnd w:id="82"/>
    </w:p>
    <w:p w:rsidR="005A1ADB" w:rsidRDefault="000B6ECF" w:rsidP="00033A19">
      <w:pPr>
        <w:adjustRightInd w:val="0"/>
        <w:snapToGrid w:val="0"/>
        <w:spacing w:line="360" w:lineRule="auto"/>
        <w:ind w:firstLineChars="196" w:firstLine="549"/>
        <w:rPr>
          <w:sz w:val="28"/>
          <w:szCs w:val="28"/>
        </w:rPr>
      </w:pPr>
      <w:r>
        <w:rPr>
          <w:rFonts w:hint="eastAsia"/>
          <w:sz w:val="28"/>
          <w:szCs w:val="28"/>
        </w:rPr>
        <w:t>开展秸秆收储运体系建设。推进规范化、标准化收</w:t>
      </w:r>
      <w:r>
        <w:rPr>
          <w:rFonts w:hint="eastAsia"/>
          <w:sz w:val="28"/>
          <w:szCs w:val="28"/>
        </w:rPr>
        <w:t>储网络建设，持续提高“五化”利用能力。建立秸秆标准化收储中心，建立专业化收储运队伍，培育多元化市场化运营模式，以政府引导、企业运营、农户配合为原则，建设集打捆压块、储存运输和加工利用一体化的秸秆收储网络体系。（责任单位：市农业农村局）</w:t>
      </w:r>
      <w:r>
        <w:rPr>
          <w:sz w:val="28"/>
          <w:szCs w:val="28"/>
        </w:rPr>
        <w:t xml:space="preserve"> </w:t>
      </w:r>
    </w:p>
    <w:p w:rsidR="005A1ADB" w:rsidRDefault="000B6ECF" w:rsidP="00033A19">
      <w:pPr>
        <w:adjustRightInd w:val="0"/>
        <w:snapToGrid w:val="0"/>
        <w:spacing w:line="360" w:lineRule="auto"/>
        <w:ind w:firstLineChars="196" w:firstLine="549"/>
        <w:rPr>
          <w:sz w:val="28"/>
          <w:szCs w:val="28"/>
        </w:rPr>
      </w:pPr>
      <w:r>
        <w:rPr>
          <w:sz w:val="28"/>
          <w:szCs w:val="28"/>
        </w:rPr>
        <w:t>建立健全废旧农膜回收体系。加强农膜底数清查，完善农用薄膜残留监测制度。建立全市农膜回收信息调度制度，摸清农膜使用及回收情况，做到应收尽收。以回收、处理等环节为重点，建立</w:t>
      </w:r>
      <w:r>
        <w:rPr>
          <w:rFonts w:hint="eastAsia"/>
          <w:sz w:val="28"/>
          <w:szCs w:val="28"/>
        </w:rPr>
        <w:t>“</w:t>
      </w:r>
      <w:r>
        <w:rPr>
          <w:sz w:val="28"/>
          <w:szCs w:val="28"/>
        </w:rPr>
        <w:t>政府引导、市场主导、企业主体、农户参与</w:t>
      </w:r>
      <w:r>
        <w:rPr>
          <w:rFonts w:hint="eastAsia"/>
          <w:sz w:val="28"/>
          <w:szCs w:val="28"/>
        </w:rPr>
        <w:t>”</w:t>
      </w:r>
      <w:r>
        <w:rPr>
          <w:sz w:val="28"/>
          <w:szCs w:val="28"/>
        </w:rPr>
        <w:t>的废旧农膜回收利用体系。</w:t>
      </w:r>
      <w:r>
        <w:rPr>
          <w:rFonts w:hint="eastAsia"/>
          <w:sz w:val="28"/>
          <w:szCs w:val="28"/>
        </w:rPr>
        <w:t>（责任单位：市农业农村局）</w:t>
      </w:r>
    </w:p>
    <w:p w:rsidR="005A1ADB" w:rsidRDefault="000B6ECF" w:rsidP="00033A19">
      <w:pPr>
        <w:adjustRightInd w:val="0"/>
        <w:snapToGrid w:val="0"/>
        <w:spacing w:line="360" w:lineRule="auto"/>
        <w:ind w:firstLineChars="196" w:firstLine="549"/>
        <w:rPr>
          <w:sz w:val="28"/>
          <w:szCs w:val="28"/>
        </w:rPr>
      </w:pPr>
      <w:r>
        <w:rPr>
          <w:sz w:val="28"/>
          <w:szCs w:val="28"/>
        </w:rPr>
        <w:t>完善农药包装</w:t>
      </w:r>
      <w:r>
        <w:rPr>
          <w:sz w:val="28"/>
          <w:szCs w:val="28"/>
        </w:rPr>
        <w:t>废弃物回收体系。按照</w:t>
      </w:r>
      <w:r>
        <w:rPr>
          <w:rFonts w:hint="eastAsia"/>
          <w:sz w:val="28"/>
          <w:szCs w:val="28"/>
        </w:rPr>
        <w:t>“</w:t>
      </w:r>
      <w:r>
        <w:rPr>
          <w:sz w:val="28"/>
          <w:szCs w:val="28"/>
        </w:rPr>
        <w:t>谁生产、经营，谁回收</w:t>
      </w:r>
      <w:r>
        <w:rPr>
          <w:rFonts w:hint="eastAsia"/>
          <w:sz w:val="28"/>
          <w:szCs w:val="28"/>
        </w:rPr>
        <w:t>”</w:t>
      </w:r>
      <w:r>
        <w:rPr>
          <w:sz w:val="28"/>
          <w:szCs w:val="28"/>
        </w:rPr>
        <w:t>原则，进一步压实农药生产者、经营者和使用者回收处理农药包装废弃物的主体责任。鼓励利用互联网技术和信息化手段，做好回收处理全过程溯源管理。优化农药废弃包装物回收网点设置，实现回收点全域覆盖。</w:t>
      </w:r>
      <w:r>
        <w:rPr>
          <w:rFonts w:hint="eastAsia"/>
          <w:sz w:val="28"/>
          <w:szCs w:val="28"/>
        </w:rPr>
        <w:t>（责任单位：市农业农村局、市生态环境局）</w:t>
      </w:r>
    </w:p>
    <w:p w:rsidR="005A1ADB" w:rsidRDefault="000B6ECF">
      <w:pPr>
        <w:pStyle w:val="4"/>
      </w:pPr>
      <w:bookmarkStart w:id="83" w:name="_Toc15669"/>
      <w:r>
        <w:rPr>
          <w:rFonts w:hint="eastAsia"/>
        </w:rPr>
        <w:t>4.2.3</w:t>
      </w:r>
      <w:r>
        <w:t>推动农业废弃物利用处置</w:t>
      </w:r>
      <w:bookmarkEnd w:id="83"/>
    </w:p>
    <w:p w:rsidR="005A1ADB" w:rsidRDefault="000B6ECF" w:rsidP="00033A19">
      <w:pPr>
        <w:adjustRightInd w:val="0"/>
        <w:snapToGrid w:val="0"/>
        <w:spacing w:line="360" w:lineRule="auto"/>
        <w:ind w:firstLineChars="196" w:firstLine="549"/>
        <w:rPr>
          <w:sz w:val="28"/>
          <w:szCs w:val="28"/>
        </w:rPr>
      </w:pPr>
      <w:r>
        <w:rPr>
          <w:rFonts w:hint="eastAsia"/>
          <w:sz w:val="28"/>
          <w:szCs w:val="28"/>
        </w:rPr>
        <w:t>推进农业废弃物回收利用处置体系建设。建立完善地膜回收与利用网络体系，大力推进地膜全量回收、资源化利用和无害化处理。加强农药废弃包装物回收处置体系建设，督促农药生产者、经营者和使用者履行回收处理义务，推进建</w:t>
      </w:r>
      <w:r>
        <w:rPr>
          <w:rFonts w:hint="eastAsia"/>
          <w:sz w:val="28"/>
          <w:szCs w:val="28"/>
        </w:rPr>
        <w:t>设区（县）、乡、村农药包装废弃物回收站（点），建立回收台帐。加强已建成农药包装废弃物回收站（点）管理，对收集的农药包装废弃物进行妥善贮存，不得擅自倾倒、堆放、遗撒农药包装废弃物。（责任单位：市农业农村局、市生态环境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lastRenderedPageBreak/>
        <w:t>全面推进秸秆综合利用。探索建立以镇、村、企业或经纪人为主体的秸秆收集储存体系，加大秸秆资源化利用先进技术和新型市场模式的集成推广，推动形成长效运行机制。推广秸秆还田模式，推进秸秆肥料化利用；落实“秸秆变肉”工程实施，推进秸秆饲料化利用，推进秸秆能源化利用，推进秸秆基料化利用。统筹农业固体废物</w:t>
      </w:r>
      <w:r>
        <w:rPr>
          <w:rFonts w:hint="eastAsia"/>
          <w:sz w:val="28"/>
          <w:szCs w:val="28"/>
        </w:rPr>
        <w:t>能源化利用和农村清洁能源供应，推动农村发展生物质能，推进生物质能热电联产项目建设投产。加快推进中韩示范区秸秆综合利用产业园建设项目，谋划实施农安县秸秆能源化、饲料化利用项目。（责任单位：市农业农村局、市发改委、市工信局、市畜牧局、市科技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加强畜禽粪污资源化利用。以畜禽粪肥还田利用为核心，普及推广“畜禽粪污</w:t>
      </w:r>
      <w:r>
        <w:rPr>
          <w:rFonts w:hint="eastAsia"/>
          <w:sz w:val="28"/>
          <w:szCs w:val="28"/>
        </w:rPr>
        <w:t>+</w:t>
      </w:r>
      <w:r>
        <w:rPr>
          <w:rFonts w:hint="eastAsia"/>
          <w:sz w:val="28"/>
          <w:szCs w:val="28"/>
        </w:rPr>
        <w:t>玉米秸秆</w:t>
      </w:r>
      <w:r>
        <w:rPr>
          <w:rFonts w:hint="eastAsia"/>
          <w:sz w:val="28"/>
          <w:szCs w:val="28"/>
        </w:rPr>
        <w:t>+</w:t>
      </w:r>
      <w:r>
        <w:rPr>
          <w:rFonts w:hint="eastAsia"/>
          <w:sz w:val="28"/>
          <w:szCs w:val="28"/>
        </w:rPr>
        <w:t>蚯蚓养殖</w:t>
      </w:r>
      <w:r>
        <w:rPr>
          <w:rFonts w:hint="eastAsia"/>
          <w:sz w:val="28"/>
          <w:szCs w:val="28"/>
        </w:rPr>
        <w:t>+</w:t>
      </w:r>
      <w:r>
        <w:rPr>
          <w:rFonts w:hint="eastAsia"/>
          <w:sz w:val="28"/>
          <w:szCs w:val="28"/>
        </w:rPr>
        <w:t>肉（蛋）鸡饲养</w:t>
      </w:r>
      <w:r>
        <w:rPr>
          <w:rFonts w:hint="eastAsia"/>
          <w:sz w:val="28"/>
          <w:szCs w:val="28"/>
        </w:rPr>
        <w:t>+</w:t>
      </w:r>
      <w:r>
        <w:rPr>
          <w:rFonts w:hint="eastAsia"/>
          <w:sz w:val="28"/>
          <w:szCs w:val="28"/>
        </w:rPr>
        <w:t>有机种植”于一体的全产业链生态循环发展等实用新技术新模式，形成措施精准、模式科学的资源化利用技术体系。摸索粪污就地还田、冬储夏用、转运集中处置等适合本地区发展的模式。谋划实施榆树市畜禽粪污无害化处理和资源化利用项目、双阳区荣园农业服务有限公司养殖粪水全量还田项目、九台区粪污处理中心建设项目。（责任单位：市畜牧局、市生态环境局）</w:t>
      </w:r>
    </w:p>
    <w:p w:rsidR="005A1ADB" w:rsidRDefault="000B6ECF" w:rsidP="00033A19">
      <w:pPr>
        <w:adjustRightInd w:val="0"/>
        <w:snapToGrid w:val="0"/>
        <w:spacing w:line="360" w:lineRule="auto"/>
        <w:ind w:firstLineChars="196" w:firstLine="549"/>
        <w:rPr>
          <w:sz w:val="28"/>
          <w:szCs w:val="28"/>
        </w:rPr>
      </w:pPr>
      <w:r>
        <w:rPr>
          <w:sz w:val="28"/>
          <w:szCs w:val="28"/>
        </w:rPr>
        <w:t>推动废旧农膜利用技术创新。积极引导废旧农膜回收加工企业加强再利用技术创新，研</w:t>
      </w:r>
      <w:r>
        <w:rPr>
          <w:sz w:val="28"/>
          <w:szCs w:val="28"/>
        </w:rPr>
        <w:t>究开发和引进推广废旧农膜再生加工技术，延伸产业链条，提高废旧农膜回收加工产品附加值。</w:t>
      </w:r>
      <w:r>
        <w:rPr>
          <w:rFonts w:hint="eastAsia"/>
          <w:sz w:val="28"/>
          <w:szCs w:val="28"/>
        </w:rPr>
        <w:t>（责任单位：市农业农村局、市科技局）</w:t>
      </w:r>
    </w:p>
    <w:p w:rsidR="005A1ADB" w:rsidRDefault="000B6ECF" w:rsidP="00033A19">
      <w:pPr>
        <w:adjustRightInd w:val="0"/>
        <w:snapToGrid w:val="0"/>
        <w:spacing w:line="360" w:lineRule="auto"/>
        <w:ind w:firstLineChars="196" w:firstLine="549"/>
        <w:rPr>
          <w:sz w:val="28"/>
          <w:szCs w:val="28"/>
        </w:rPr>
      </w:pPr>
      <w:r>
        <w:rPr>
          <w:sz w:val="28"/>
          <w:szCs w:val="28"/>
        </w:rPr>
        <w:t>保障农药包装废弃物安全处置。完善农药包装废弃物纳入危险废物豁免管理清单背景下的利用处置协调机制，保障回收的农药包装废弃物</w:t>
      </w:r>
      <w:r>
        <w:rPr>
          <w:sz w:val="28"/>
          <w:szCs w:val="28"/>
        </w:rPr>
        <w:t>100%</w:t>
      </w:r>
      <w:r>
        <w:rPr>
          <w:sz w:val="28"/>
          <w:szCs w:val="28"/>
        </w:rPr>
        <w:t>无害化处置。探索拓宽农药废弃包装物的资源化利用渠道，做好回收和处理的衔接，确保回收的农药包装废弃物及时安全处置。</w:t>
      </w:r>
      <w:r>
        <w:rPr>
          <w:rFonts w:hint="eastAsia"/>
          <w:sz w:val="28"/>
          <w:szCs w:val="28"/>
        </w:rPr>
        <w:lastRenderedPageBreak/>
        <w:t>（责任单位：市农业农村局、市生态环境局）</w:t>
      </w:r>
    </w:p>
    <w:p w:rsidR="005A1ADB" w:rsidRDefault="000B6ECF">
      <w:pPr>
        <w:pStyle w:val="3"/>
        <w:rPr>
          <w:sz w:val="28"/>
        </w:rPr>
      </w:pPr>
      <w:bookmarkStart w:id="84" w:name="_Toc104561699"/>
      <w:bookmarkStart w:id="85" w:name="_Toc28888"/>
      <w:bookmarkStart w:id="86" w:name="_Toc111199993"/>
      <w:bookmarkStart w:id="87" w:name="_Toc2296"/>
      <w:bookmarkStart w:id="88" w:name="_Toc115079276"/>
      <w:r>
        <w:rPr>
          <w:rFonts w:hint="eastAsia"/>
          <w:sz w:val="28"/>
        </w:rPr>
        <w:t xml:space="preserve">4.3 </w:t>
      </w:r>
      <w:r>
        <w:rPr>
          <w:rFonts w:hint="eastAsia"/>
          <w:sz w:val="28"/>
        </w:rPr>
        <w:t>推动形成绿色低碳生活方式，促进生活源固体废物减量化、资源化</w:t>
      </w:r>
      <w:bookmarkEnd w:id="84"/>
      <w:bookmarkEnd w:id="85"/>
      <w:bookmarkEnd w:id="86"/>
      <w:bookmarkEnd w:id="87"/>
      <w:bookmarkEnd w:id="88"/>
    </w:p>
    <w:p w:rsidR="005A1ADB" w:rsidRDefault="000B6ECF">
      <w:pPr>
        <w:pStyle w:val="4"/>
      </w:pPr>
      <w:bookmarkStart w:id="89" w:name="_Toc995"/>
      <w:r>
        <w:rPr>
          <w:rFonts w:hint="eastAsia"/>
        </w:rPr>
        <w:t>4.3.1</w:t>
      </w:r>
      <w:r>
        <w:t>推动生活垃圾源头减量</w:t>
      </w:r>
      <w:bookmarkEnd w:id="89"/>
    </w:p>
    <w:p w:rsidR="005A1ADB" w:rsidRDefault="000B6ECF" w:rsidP="00033A19">
      <w:pPr>
        <w:adjustRightInd w:val="0"/>
        <w:snapToGrid w:val="0"/>
        <w:spacing w:line="360" w:lineRule="auto"/>
        <w:ind w:firstLineChars="196" w:firstLine="549"/>
        <w:rPr>
          <w:sz w:val="28"/>
          <w:szCs w:val="28"/>
        </w:rPr>
      </w:pPr>
      <w:r>
        <w:rPr>
          <w:rFonts w:hint="eastAsia"/>
          <w:sz w:val="28"/>
          <w:szCs w:val="28"/>
        </w:rPr>
        <w:t>积极倡导</w:t>
      </w:r>
      <w:r>
        <w:rPr>
          <w:rFonts w:hint="eastAsia"/>
          <w:sz w:val="28"/>
          <w:szCs w:val="28"/>
        </w:rPr>
        <w:t>绿色生活方式。</w:t>
      </w:r>
      <w:r>
        <w:rPr>
          <w:sz w:val="28"/>
          <w:szCs w:val="28"/>
        </w:rPr>
        <w:t>加大绿色生活宣传，引导公众在衣食住行等方面践行简约适度、绿色低碳的生活方式。</w:t>
      </w:r>
      <w:r>
        <w:rPr>
          <w:rFonts w:hint="eastAsia"/>
          <w:sz w:val="28"/>
          <w:szCs w:val="28"/>
        </w:rPr>
        <w:t>大型超市、大型商场、农贸市场等场所，提倡重提菜篮子、布袋子。鼓励</w:t>
      </w:r>
      <w:r>
        <w:rPr>
          <w:rFonts w:hint="eastAsia"/>
          <w:sz w:val="28"/>
          <w:szCs w:val="28"/>
        </w:rPr>
        <w:t>A</w:t>
      </w:r>
      <w:r>
        <w:rPr>
          <w:rFonts w:hint="eastAsia"/>
          <w:sz w:val="28"/>
          <w:szCs w:val="28"/>
        </w:rPr>
        <w:t>级旅游景区不提供、销售一次性不可降解塑料袋、塑料餐具。积极</w:t>
      </w:r>
      <w:r>
        <w:rPr>
          <w:sz w:val="28"/>
          <w:szCs w:val="28"/>
        </w:rPr>
        <w:t>创建</w:t>
      </w:r>
      <w:r>
        <w:rPr>
          <w:rFonts w:hint="eastAsia"/>
          <w:sz w:val="28"/>
          <w:szCs w:val="28"/>
        </w:rPr>
        <w:t>和培育</w:t>
      </w:r>
      <w:r>
        <w:rPr>
          <w:rFonts w:hint="eastAsia"/>
          <w:sz w:val="28"/>
          <w:szCs w:val="28"/>
        </w:rPr>
        <w:t>“</w:t>
      </w:r>
      <w:r>
        <w:rPr>
          <w:rFonts w:hint="eastAsia"/>
          <w:sz w:val="28"/>
          <w:szCs w:val="28"/>
        </w:rPr>
        <w:t>绿色</w:t>
      </w:r>
      <w:r>
        <w:rPr>
          <w:sz w:val="28"/>
          <w:szCs w:val="28"/>
        </w:rPr>
        <w:t>商场</w:t>
      </w:r>
      <w:r>
        <w:rPr>
          <w:rFonts w:hint="eastAsia"/>
          <w:sz w:val="28"/>
          <w:szCs w:val="28"/>
        </w:rPr>
        <w:t>”</w:t>
      </w:r>
      <w:r>
        <w:rPr>
          <w:sz w:val="28"/>
          <w:szCs w:val="28"/>
        </w:rPr>
        <w:t>、</w:t>
      </w:r>
      <w:r>
        <w:rPr>
          <w:rFonts w:hint="eastAsia"/>
          <w:sz w:val="28"/>
          <w:szCs w:val="28"/>
        </w:rPr>
        <w:t>“</w:t>
      </w:r>
      <w:r>
        <w:rPr>
          <w:sz w:val="28"/>
          <w:szCs w:val="28"/>
        </w:rPr>
        <w:t>无废展馆</w:t>
      </w:r>
      <w:r>
        <w:rPr>
          <w:rFonts w:hint="eastAsia"/>
          <w:sz w:val="28"/>
          <w:szCs w:val="28"/>
        </w:rPr>
        <w:t>”</w:t>
      </w:r>
      <w:r>
        <w:rPr>
          <w:sz w:val="28"/>
          <w:szCs w:val="28"/>
        </w:rPr>
        <w:t>等生活领域</w:t>
      </w:r>
      <w:r>
        <w:rPr>
          <w:rFonts w:hint="eastAsia"/>
          <w:sz w:val="28"/>
          <w:szCs w:val="28"/>
        </w:rPr>
        <w:t>“</w:t>
      </w:r>
      <w:r>
        <w:rPr>
          <w:sz w:val="28"/>
          <w:szCs w:val="28"/>
        </w:rPr>
        <w:t>无废细胞工程</w:t>
      </w:r>
      <w:r>
        <w:rPr>
          <w:rFonts w:hint="eastAsia"/>
          <w:sz w:val="28"/>
          <w:szCs w:val="28"/>
        </w:rPr>
        <w:t>”</w:t>
      </w:r>
      <w:r>
        <w:rPr>
          <w:sz w:val="28"/>
          <w:szCs w:val="28"/>
        </w:rPr>
        <w:t>，</w:t>
      </w:r>
      <w:r>
        <w:rPr>
          <w:rFonts w:hint="eastAsia"/>
          <w:sz w:val="28"/>
          <w:szCs w:val="28"/>
        </w:rPr>
        <w:t>试点推进绿色机关、绿色家庭、绿色学校、绿色社区、绿色出行的新型生活方式</w:t>
      </w:r>
      <w:r>
        <w:rPr>
          <w:sz w:val="28"/>
          <w:szCs w:val="28"/>
        </w:rPr>
        <w:t>。</w:t>
      </w:r>
      <w:r>
        <w:rPr>
          <w:rFonts w:hint="eastAsia"/>
          <w:sz w:val="28"/>
          <w:szCs w:val="28"/>
        </w:rPr>
        <w:t>（责任单位：各成员单位）</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大力推广绿色包装。</w:t>
      </w:r>
      <w:r>
        <w:rPr>
          <w:sz w:val="28"/>
          <w:szCs w:val="28"/>
        </w:rPr>
        <w:t>促进塑料等包装物源头减量，</w:t>
      </w:r>
      <w:r>
        <w:rPr>
          <w:rFonts w:hint="eastAsia"/>
          <w:sz w:val="28"/>
          <w:szCs w:val="28"/>
        </w:rPr>
        <w:t>探索实行生产者责任延伸制度，与电商外卖平台、再生资源回收企业、社会组织等联合开展包装回收试点</w:t>
      </w:r>
      <w:r>
        <w:rPr>
          <w:rFonts w:hint="eastAsia"/>
          <w:sz w:val="28"/>
          <w:szCs w:val="28"/>
        </w:rPr>
        <w:t>行动。进一步减少编织袋和胶带使用量，推广使用可循环、可降解包装，鼓励使用生物基材料的环保包装制品。（责任单位：市邮政管理局、市工信局、市城市管理局、市市场监督管理局、市商务局、市民政局）</w:t>
      </w:r>
    </w:p>
    <w:p w:rsidR="005A1ADB" w:rsidRDefault="000B6ECF" w:rsidP="00033A19">
      <w:pPr>
        <w:adjustRightInd w:val="0"/>
        <w:snapToGrid w:val="0"/>
        <w:spacing w:line="360" w:lineRule="auto"/>
        <w:ind w:firstLineChars="196" w:firstLine="549"/>
        <w:rPr>
          <w:sz w:val="28"/>
          <w:szCs w:val="28"/>
        </w:rPr>
      </w:pPr>
      <w:r>
        <w:rPr>
          <w:sz w:val="28"/>
          <w:szCs w:val="28"/>
        </w:rPr>
        <w:t>加快快递包装绿色转型。推广使用通过绿色产品认证的快递包装产品、免胶包装箱、可降解基材胶带和填充物，鼓励电子商务企业和物流服务企业执行绿色包装、减量包装标准。</w:t>
      </w:r>
      <w:r>
        <w:rPr>
          <w:rFonts w:hint="eastAsia"/>
          <w:sz w:val="28"/>
          <w:szCs w:val="28"/>
        </w:rPr>
        <w:t>（责任单位：市邮政管理局、市商务局、</w:t>
      </w:r>
      <w:r>
        <w:rPr>
          <w:sz w:val="28"/>
          <w:szCs w:val="28"/>
        </w:rPr>
        <w:t>市交通运输局</w:t>
      </w:r>
      <w:r>
        <w:rPr>
          <w:rFonts w:hint="eastAsia"/>
          <w:sz w:val="28"/>
          <w:szCs w:val="28"/>
        </w:rPr>
        <w:t>）</w:t>
      </w:r>
    </w:p>
    <w:p w:rsidR="005A1ADB" w:rsidRDefault="000B6ECF">
      <w:pPr>
        <w:pStyle w:val="4"/>
      </w:pPr>
      <w:bookmarkStart w:id="90" w:name="_Toc5118"/>
      <w:r>
        <w:rPr>
          <w:rFonts w:hint="eastAsia"/>
        </w:rPr>
        <w:lastRenderedPageBreak/>
        <w:t>4.3.2</w:t>
      </w:r>
      <w:r>
        <w:t>深化生活垃圾分类处理</w:t>
      </w:r>
      <w:bookmarkEnd w:id="90"/>
      <w:r>
        <w:tab/>
      </w:r>
    </w:p>
    <w:p w:rsidR="005A1ADB" w:rsidRDefault="000B6ECF" w:rsidP="00033A19">
      <w:pPr>
        <w:adjustRightInd w:val="0"/>
        <w:snapToGrid w:val="0"/>
        <w:spacing w:line="360" w:lineRule="auto"/>
        <w:ind w:firstLineChars="196" w:firstLine="549"/>
        <w:rPr>
          <w:sz w:val="28"/>
          <w:szCs w:val="28"/>
        </w:rPr>
      </w:pPr>
      <w:r>
        <w:rPr>
          <w:rFonts w:hint="eastAsia"/>
          <w:sz w:val="28"/>
          <w:szCs w:val="28"/>
        </w:rPr>
        <w:t>倡导生活垃圾源头分类。建立完善生活垃圾分类投放、分类收集、分类运输、分类处理系统，全面提升生活垃圾分类处理能力。采取“先试点，再推广”的方式，逐步实现生活垃圾分类收运。重点推进生活源废弃含汞荧光灯、废温度计、废旧电池等有害垃圾单独收运和处理工作。（责任单位：市城市管理局、市生态环境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t>积极建立分类运输体系。建立多元化生活垃圾分类运输体系，异类异策，保障垃圾运输全链条闭环管理。可回收物和其他垃圾在开放社区开展上门收集，在封闭小区由物业统一收运至垃圾中转站；生活源中有害垃圾（包括过期药品、废日用化学品、水银温</w:t>
      </w:r>
      <w:r>
        <w:rPr>
          <w:rFonts w:hint="eastAsia"/>
          <w:sz w:val="28"/>
          <w:szCs w:val="28"/>
        </w:rPr>
        <w:t>度计、废旧灯管、废油漆、废电池等）由社区设置专门收集容器，进行分类收集。加强对农村生活垃圾的收集和处置，建设生活垃圾城乡一体化收运处理体系。重点提升现有机械化水平，合理增加机械化设备数量，提高垃圾收集效率。（责任单位：市城市管理局、市农业农村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加快生活垃圾焚烧设施建设。补齐设施短板，推进生活垃圾焚烧发电设施建设，实现原生垃圾零填埋，形成“焚烧为主、生化为辅、循环利用”的垃圾处理新格局。积极应用生活垃圾焚烧飞灰资源化利用新技术和新工艺，推进飞灰资源化处置试点示范，持续提高长春市生活垃圾资源化利用率。（责任</w:t>
      </w:r>
      <w:r>
        <w:rPr>
          <w:rFonts w:hint="eastAsia"/>
          <w:sz w:val="28"/>
          <w:szCs w:val="28"/>
        </w:rPr>
        <w:t>单位：市发改委、市生态环境局、市城市管理局）</w:t>
      </w:r>
    </w:p>
    <w:p w:rsidR="005A1ADB" w:rsidRDefault="000B6ECF">
      <w:pPr>
        <w:pStyle w:val="4"/>
      </w:pPr>
      <w:bookmarkStart w:id="91" w:name="_Toc10484"/>
      <w:r>
        <w:rPr>
          <w:rFonts w:hint="eastAsia"/>
        </w:rPr>
        <w:t>4.3.3</w:t>
      </w:r>
      <w:r>
        <w:t>健全再生资源回收利用体系</w:t>
      </w:r>
      <w:bookmarkEnd w:id="91"/>
    </w:p>
    <w:p w:rsidR="005A1ADB" w:rsidRDefault="000B6ECF" w:rsidP="00033A19">
      <w:pPr>
        <w:adjustRightInd w:val="0"/>
        <w:snapToGrid w:val="0"/>
        <w:spacing w:line="360" w:lineRule="auto"/>
        <w:ind w:firstLineChars="196" w:firstLine="549"/>
        <w:rPr>
          <w:sz w:val="28"/>
          <w:szCs w:val="28"/>
        </w:rPr>
      </w:pPr>
      <w:r>
        <w:rPr>
          <w:rFonts w:hint="eastAsia"/>
          <w:sz w:val="28"/>
          <w:szCs w:val="28"/>
        </w:rPr>
        <w:t>健全再生资源回收利用模式。强化再生资源回收体系建设，支持和培育一批专业化、综合性的分拣加工的龙头企业，建设再生资源示范企业和回收分拣示范中心；逐步推行垃圾分类与资源回收两网融合，</w:t>
      </w:r>
      <w:r>
        <w:rPr>
          <w:rFonts w:hint="eastAsia"/>
          <w:sz w:val="28"/>
          <w:szCs w:val="28"/>
        </w:rPr>
        <w:lastRenderedPageBreak/>
        <w:t>提高再生资源回收规范化水平。（责任单位：市商务局、市城市管理局、市供销社、市工信局）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t>提升生活垃圾资源化利用水平。建立以资源化利用为主，卫生填埋为辅，新技术、新模式、无污染、无危害的垃圾处置模式。强化焚烧发电和其他资源化利用对生活垃圾处理的积极作用，减</w:t>
      </w:r>
      <w:r>
        <w:rPr>
          <w:rFonts w:hint="eastAsia"/>
          <w:sz w:val="28"/>
          <w:szCs w:val="28"/>
        </w:rPr>
        <w:t>少原生垃圾对卫生填埋处置依赖性，提高生活垃圾资源化利用率。加快推进长春市城市生活垃圾焚烧发电处理项目扩建项目建设，积极谋划长春市循环经济产业园项目、大件垃圾资源化利用中心项目建设。（责任单位：市城市管理局、市发改委、市供销社）</w:t>
      </w:r>
    </w:p>
    <w:p w:rsidR="005A1ADB" w:rsidRDefault="000B6ECF" w:rsidP="00033A19">
      <w:pPr>
        <w:adjustRightInd w:val="0"/>
        <w:snapToGrid w:val="0"/>
        <w:spacing w:line="360" w:lineRule="auto"/>
        <w:ind w:firstLineChars="196" w:firstLine="549"/>
        <w:rPr>
          <w:sz w:val="28"/>
          <w:szCs w:val="28"/>
        </w:rPr>
      </w:pPr>
      <w:r>
        <w:rPr>
          <w:rFonts w:hint="eastAsia"/>
          <w:sz w:val="28"/>
          <w:szCs w:val="28"/>
        </w:rPr>
        <w:t>推进厨余垃圾资源化利用项目建设。加快推进长春市餐厨（厨余）垃圾处理厂项目建设，合理利用厨余垃圾生产生物柴油、沼气、土壤改良剂、生物蛋白等产品，促进厨余垃圾资源化利用。推动建立规范的餐饮企业、单位食堂餐厨垃圾定点收集、密闭运输、集中处理体系，逐步建立农贸市场、家庭厨余垃圾收运体系，鼓励</w:t>
      </w:r>
      <w:r>
        <w:rPr>
          <w:rFonts w:hint="eastAsia"/>
          <w:sz w:val="28"/>
          <w:szCs w:val="28"/>
        </w:rPr>
        <w:t>居民分类投放厨余垃圾，实现厨余垃圾单独收集和处理。建立健全厨余垃圾从产生、收集、运输、处理全过程信息化登记制度，有效监管厨余垃圾及其资源化产品的流向。（责任单位：市城市管理局、市发改委、市市场监督管理局、市畜牧局）</w:t>
      </w:r>
    </w:p>
    <w:p w:rsidR="005A1ADB" w:rsidRDefault="000B6ECF" w:rsidP="00033A19">
      <w:pPr>
        <w:adjustRightInd w:val="0"/>
        <w:snapToGrid w:val="0"/>
        <w:spacing w:line="360" w:lineRule="auto"/>
        <w:ind w:firstLineChars="196" w:firstLine="549"/>
        <w:rPr>
          <w:sz w:val="28"/>
          <w:szCs w:val="28"/>
        </w:rPr>
      </w:pPr>
      <w:r>
        <w:rPr>
          <w:sz w:val="28"/>
          <w:szCs w:val="28"/>
        </w:rPr>
        <w:t>建立汽车产品生产者责任延伸制试点。探索汽车生产企业通过自主回收、委托回收或联合回收等模式，依法建立报废机动车、车用动力电池及废旧零部件回收网络与管理体系，提升资源综合利用水平。鼓励通过线上交易平台等方式，拓展回用件与再制造件供需信息发布渠道，完善二手零部件再利用技术规范，探索建立报废汽车拆解、拆</w:t>
      </w:r>
      <w:r>
        <w:rPr>
          <w:sz w:val="28"/>
          <w:szCs w:val="28"/>
        </w:rPr>
        <w:t>解产物再利用及废弃物处置等配套标准体系。</w:t>
      </w:r>
      <w:r>
        <w:rPr>
          <w:rFonts w:hint="eastAsia"/>
          <w:sz w:val="28"/>
          <w:szCs w:val="28"/>
        </w:rPr>
        <w:t>（责任单位：市工信局、市发改委、市商务局、市科技局）</w:t>
      </w:r>
    </w:p>
    <w:p w:rsidR="005A1ADB" w:rsidRDefault="000B6ECF">
      <w:pPr>
        <w:pStyle w:val="3"/>
        <w:rPr>
          <w:sz w:val="28"/>
        </w:rPr>
      </w:pPr>
      <w:bookmarkStart w:id="92" w:name="_Toc104561700"/>
      <w:bookmarkStart w:id="93" w:name="_Toc30139"/>
      <w:bookmarkStart w:id="94" w:name="_Toc12356"/>
      <w:bookmarkStart w:id="95" w:name="_Toc115079277"/>
      <w:bookmarkStart w:id="96" w:name="_Toc111199994"/>
      <w:r>
        <w:rPr>
          <w:rFonts w:hint="eastAsia"/>
          <w:sz w:val="28"/>
        </w:rPr>
        <w:lastRenderedPageBreak/>
        <w:t xml:space="preserve">4.4 </w:t>
      </w:r>
      <w:r>
        <w:rPr>
          <w:rFonts w:hint="eastAsia"/>
          <w:sz w:val="28"/>
        </w:rPr>
        <w:t>加强全过程管理，推进建筑垃圾综合利用</w:t>
      </w:r>
      <w:bookmarkEnd w:id="92"/>
      <w:bookmarkEnd w:id="93"/>
      <w:bookmarkEnd w:id="94"/>
      <w:bookmarkEnd w:id="95"/>
      <w:bookmarkEnd w:id="96"/>
    </w:p>
    <w:p w:rsidR="005A1ADB" w:rsidRDefault="000B6ECF">
      <w:pPr>
        <w:pStyle w:val="4"/>
      </w:pPr>
      <w:bookmarkStart w:id="97" w:name="_Toc16460"/>
      <w:r>
        <w:rPr>
          <w:rFonts w:hint="eastAsia"/>
        </w:rPr>
        <w:t>4.4.1</w:t>
      </w:r>
      <w:r>
        <w:t>积极</w:t>
      </w:r>
      <w:r>
        <w:rPr>
          <w:rFonts w:hint="eastAsia"/>
        </w:rPr>
        <w:t>开展建筑业源头减量</w:t>
      </w:r>
      <w:bookmarkEnd w:id="97"/>
    </w:p>
    <w:p w:rsidR="005A1ADB" w:rsidRDefault="000B6ECF" w:rsidP="00033A19">
      <w:pPr>
        <w:adjustRightInd w:val="0"/>
        <w:snapToGrid w:val="0"/>
        <w:spacing w:line="360" w:lineRule="auto"/>
        <w:ind w:firstLineChars="196" w:firstLine="549"/>
        <w:rPr>
          <w:sz w:val="28"/>
          <w:szCs w:val="28"/>
        </w:rPr>
      </w:pPr>
      <w:r>
        <w:rPr>
          <w:rFonts w:hint="eastAsia"/>
          <w:sz w:val="28"/>
          <w:szCs w:val="28"/>
        </w:rPr>
        <w:t>实施绿色设计。系统推进绿色策划、绿色设计等工作，编制绿色建筑发展专项规划，鼓励设计单位通过优化总平面布置、场地竖向设计、地下管线综合、场地平整填土预处理等设计措施减少建筑垃圾产生。完善绿色建筑相关要求，规范绿色建筑设计、施工、运行、管理，将绿色建筑纳入工程建设基本要求。（责任单位：市城乡建设委员会）</w:t>
      </w:r>
    </w:p>
    <w:p w:rsidR="005A1ADB" w:rsidRDefault="000B6ECF" w:rsidP="00033A19">
      <w:pPr>
        <w:adjustRightInd w:val="0"/>
        <w:snapToGrid w:val="0"/>
        <w:spacing w:line="360" w:lineRule="auto"/>
        <w:ind w:firstLineChars="196" w:firstLine="549"/>
        <w:rPr>
          <w:sz w:val="28"/>
          <w:szCs w:val="28"/>
        </w:rPr>
      </w:pPr>
      <w:r>
        <w:rPr>
          <w:rFonts w:hint="eastAsia"/>
          <w:sz w:val="28"/>
          <w:szCs w:val="28"/>
        </w:rPr>
        <w:t>推广绿色施工。城镇建筑和市政工程积极</w:t>
      </w:r>
      <w:r>
        <w:rPr>
          <w:rFonts w:hint="eastAsia"/>
          <w:sz w:val="28"/>
          <w:szCs w:val="28"/>
        </w:rPr>
        <w:t>推广绿色施工，政府投资为主的建设工程率先推行绿色施工。树立全生命周期理念，推行精细化设计、精细化施工，从源头推进建筑垃圾减量化、资源化、无害化、再利用。按照“谁产生、谁负责”的原则，落实建设单位建筑垃圾减量化的首要责任，将建筑垃圾减量化措施费纳入工程概算，并监督设计、施工、监理单位具体落实。施工单位应组织编制施工现场建筑垃圾减量化专项方案，做好设计深化和施工组织优化，降低施工现场建筑垃圾排放量；同时，施工单位应建立建筑垃圾分类收集与存放管理制度，实行分类收集、分类存放、分类处置。施工、监理等单位应强化施工质</w:t>
      </w:r>
      <w:r>
        <w:rPr>
          <w:rFonts w:hint="eastAsia"/>
          <w:sz w:val="28"/>
          <w:szCs w:val="28"/>
        </w:rPr>
        <w:t>量管控，减少因质量问题导致的返工或修补。提高临时设施和周转材料的重复利用率，推广采用重复利用率高的标准化设施。推行临时设施和永久性设施的综合利用，减少因拆除临时设施产生的建筑垃圾。（责任单位：市城乡建设委员会、市城市管理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创新建造方式。大力发展节能低碳建筑，以保障性住房、政策投资或以政府投资为主的公建项目为重点，鼓励引导推动装配式建筑、工厂化生产构配件、全装修成品住宅、建筑信息模型（</w:t>
      </w:r>
      <w:r>
        <w:rPr>
          <w:rFonts w:hint="eastAsia"/>
          <w:sz w:val="28"/>
          <w:szCs w:val="28"/>
        </w:rPr>
        <w:t>BIM</w:t>
      </w:r>
      <w:r>
        <w:rPr>
          <w:rFonts w:hint="eastAsia"/>
          <w:sz w:val="28"/>
          <w:szCs w:val="28"/>
        </w:rPr>
        <w:t>）技术以及绿色建筑设计标准在工程建设项目设计中的应用。推广以装配式建</w:t>
      </w:r>
      <w:r>
        <w:rPr>
          <w:rFonts w:hint="eastAsia"/>
          <w:sz w:val="28"/>
          <w:szCs w:val="28"/>
        </w:rPr>
        <w:lastRenderedPageBreak/>
        <w:t>筑为代表的新型建筑工业化，提升产业工人技术技能水</w:t>
      </w:r>
      <w:r>
        <w:rPr>
          <w:rFonts w:hint="eastAsia"/>
          <w:sz w:val="28"/>
          <w:szCs w:val="28"/>
        </w:rPr>
        <w:t>平，开展装配式现场建筑工作配置试点工作。引导建筑行业部品部件生产企业合理布局，完善装配式建筑全产业链条发展。加快实施中韩示范区装配式装修产品生产园项目。（责任单位：市城乡建设委员会）</w:t>
      </w:r>
    </w:p>
    <w:p w:rsidR="005A1ADB" w:rsidRDefault="000B6ECF">
      <w:pPr>
        <w:pStyle w:val="4"/>
      </w:pPr>
      <w:bookmarkStart w:id="98" w:name="_Toc26734"/>
      <w:r>
        <w:rPr>
          <w:rFonts w:hint="eastAsia"/>
        </w:rPr>
        <w:t>4.4.2</w:t>
      </w:r>
      <w:r>
        <w:t>推进建筑垃圾资源化利用</w:t>
      </w:r>
      <w:bookmarkEnd w:id="98"/>
    </w:p>
    <w:p w:rsidR="005A1ADB" w:rsidRDefault="000B6ECF" w:rsidP="00033A19">
      <w:pPr>
        <w:adjustRightInd w:val="0"/>
        <w:snapToGrid w:val="0"/>
        <w:spacing w:line="360" w:lineRule="auto"/>
        <w:ind w:firstLineChars="196" w:firstLine="549"/>
        <w:rPr>
          <w:sz w:val="28"/>
          <w:szCs w:val="28"/>
        </w:rPr>
      </w:pPr>
      <w:r>
        <w:rPr>
          <w:rFonts w:hint="eastAsia"/>
          <w:sz w:val="28"/>
          <w:szCs w:val="28"/>
        </w:rPr>
        <w:t>提高建筑垃圾资源化利用水平。按照长春市建筑垃圾管理要求，将建筑垃圾消纳和装修垃圾资源化利用等建筑垃圾处置场所的设置纳入城市市容和环境卫生专项规划，谋划推进长春市建筑垃圾资源化利用项目及公主岭等建筑垃圾消纳场建设。深入推进建筑垃圾资源化利用，落实建筑垃圾资源化利用扶持政策，激发企业创新活力，引导</w:t>
      </w:r>
      <w:r>
        <w:rPr>
          <w:rFonts w:hint="eastAsia"/>
          <w:sz w:val="28"/>
          <w:szCs w:val="28"/>
        </w:rPr>
        <w:t>和推动技术管理创新，提高建筑垃圾再生骨料及制品在建筑工程和道路工程中的应用比例，推动在土方平衡、林业用土、环境治理、烧结制品及回填等领域大量利用经处理后的建筑垃圾，提高建筑垃圾资源化利用率。（责任单位：市城市管理局、市城乡建设委员会、市工信局、市科技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t>推动建筑垃圾</w:t>
      </w:r>
      <w:r>
        <w:rPr>
          <w:sz w:val="28"/>
          <w:szCs w:val="28"/>
        </w:rPr>
        <w:t>再生产品</w:t>
      </w:r>
      <w:r>
        <w:rPr>
          <w:rFonts w:hint="eastAsia"/>
          <w:sz w:val="28"/>
          <w:szCs w:val="28"/>
        </w:rPr>
        <w:t>研发</w:t>
      </w:r>
      <w:r>
        <w:rPr>
          <w:sz w:val="28"/>
          <w:szCs w:val="28"/>
        </w:rPr>
        <w:t>。</w:t>
      </w:r>
      <w:r>
        <w:rPr>
          <w:rFonts w:hint="eastAsia"/>
          <w:sz w:val="28"/>
          <w:szCs w:val="28"/>
        </w:rPr>
        <w:t>推动建筑垃圾再生产品规模化、高效化、产业化应用，逐步建立新型建筑材料产业化专业园区。</w:t>
      </w:r>
      <w:r>
        <w:rPr>
          <w:sz w:val="28"/>
          <w:szCs w:val="28"/>
        </w:rPr>
        <w:t>鼓励利用建筑</w:t>
      </w:r>
      <w:r>
        <w:rPr>
          <w:rFonts w:hint="eastAsia"/>
          <w:sz w:val="28"/>
          <w:szCs w:val="28"/>
        </w:rPr>
        <w:t>垃圾</w:t>
      </w:r>
      <w:r>
        <w:rPr>
          <w:sz w:val="28"/>
          <w:szCs w:val="28"/>
        </w:rPr>
        <w:t>生产建筑材料，研究制定建筑垃圾再生建材应用技术指南或</w:t>
      </w:r>
      <w:r>
        <w:rPr>
          <w:rFonts w:hint="eastAsia"/>
          <w:sz w:val="28"/>
          <w:szCs w:val="28"/>
        </w:rPr>
        <w:t>资源化</w:t>
      </w:r>
      <w:r>
        <w:rPr>
          <w:sz w:val="28"/>
          <w:szCs w:val="28"/>
        </w:rPr>
        <w:t>利用产品认定办法，提高建筑垃圾资源化再生产品质量，促进综合利用产品推广应</w:t>
      </w:r>
      <w:r>
        <w:rPr>
          <w:sz w:val="28"/>
          <w:szCs w:val="28"/>
        </w:rPr>
        <w:t>用。</w:t>
      </w:r>
      <w:r>
        <w:rPr>
          <w:rFonts w:hint="eastAsia"/>
          <w:sz w:val="28"/>
          <w:szCs w:val="28"/>
        </w:rPr>
        <w:t>推动建筑垃圾“原地再生</w:t>
      </w:r>
      <w:r>
        <w:rPr>
          <w:rFonts w:hint="eastAsia"/>
          <w:sz w:val="28"/>
          <w:szCs w:val="28"/>
        </w:rPr>
        <w:t>+</w:t>
      </w:r>
      <w:r>
        <w:rPr>
          <w:rFonts w:hint="eastAsia"/>
          <w:sz w:val="28"/>
          <w:szCs w:val="28"/>
        </w:rPr>
        <w:t>异地处理”，探索开展建设建筑垃圾综合利用示范工程。（责任单位：市城乡建设委员会、市城市管理局、市科技局、市市场监督管理局）</w:t>
      </w:r>
    </w:p>
    <w:p w:rsidR="005A1ADB" w:rsidRDefault="000B6ECF">
      <w:pPr>
        <w:pStyle w:val="4"/>
      </w:pPr>
      <w:bookmarkStart w:id="99" w:name="_Toc18665"/>
      <w:r>
        <w:rPr>
          <w:rFonts w:hint="eastAsia"/>
        </w:rPr>
        <w:lastRenderedPageBreak/>
        <w:t>4.4.3</w:t>
      </w:r>
      <w:r>
        <w:t>完善建筑垃圾过程管理</w:t>
      </w:r>
      <w:bookmarkEnd w:id="99"/>
    </w:p>
    <w:p w:rsidR="005A1ADB" w:rsidRDefault="000B6ECF" w:rsidP="00033A19">
      <w:pPr>
        <w:adjustRightInd w:val="0"/>
        <w:snapToGrid w:val="0"/>
        <w:spacing w:line="360" w:lineRule="auto"/>
        <w:ind w:firstLineChars="196" w:firstLine="549"/>
        <w:rPr>
          <w:sz w:val="28"/>
          <w:szCs w:val="28"/>
        </w:rPr>
      </w:pPr>
      <w:r>
        <w:rPr>
          <w:rFonts w:hint="eastAsia"/>
          <w:sz w:val="28"/>
          <w:szCs w:val="28"/>
        </w:rPr>
        <w:t>强化建筑垃圾精细化管理。以网络信息化建设为手段，</w:t>
      </w:r>
      <w:bookmarkStart w:id="100" w:name="_Hlk90719331"/>
      <w:r>
        <w:rPr>
          <w:rFonts w:hint="eastAsia"/>
          <w:sz w:val="28"/>
          <w:szCs w:val="28"/>
        </w:rPr>
        <w:t>探索推进</w:t>
      </w:r>
      <w:r>
        <w:rPr>
          <w:sz w:val="28"/>
          <w:szCs w:val="28"/>
        </w:rPr>
        <w:t>建筑垃圾信息化监管平台</w:t>
      </w:r>
      <w:bookmarkEnd w:id="100"/>
      <w:r>
        <w:rPr>
          <w:sz w:val="28"/>
          <w:szCs w:val="28"/>
        </w:rPr>
        <w:t>建设，运用视频监控、大数据和智能工具匹配建筑垃圾产生信息和消纳需求，</w:t>
      </w:r>
      <w:r>
        <w:rPr>
          <w:rFonts w:hint="eastAsia"/>
          <w:sz w:val="28"/>
          <w:szCs w:val="28"/>
        </w:rPr>
        <w:t>加强建筑垃圾收运环节的监管力度，真正实现全流程闭环管理</w:t>
      </w:r>
      <w:r>
        <w:rPr>
          <w:sz w:val="28"/>
          <w:szCs w:val="28"/>
        </w:rPr>
        <w:t>。</w:t>
      </w:r>
      <w:r>
        <w:rPr>
          <w:rFonts w:hint="eastAsia"/>
          <w:sz w:val="28"/>
          <w:szCs w:val="28"/>
        </w:rPr>
        <w:t>（责任单位：市城市管理局）</w:t>
      </w:r>
    </w:p>
    <w:p w:rsidR="005A1ADB" w:rsidRDefault="000B6ECF" w:rsidP="00033A19">
      <w:pPr>
        <w:adjustRightInd w:val="0"/>
        <w:snapToGrid w:val="0"/>
        <w:spacing w:line="360" w:lineRule="auto"/>
        <w:ind w:firstLineChars="196" w:firstLine="549"/>
        <w:rPr>
          <w:sz w:val="28"/>
          <w:szCs w:val="28"/>
        </w:rPr>
      </w:pPr>
      <w:r>
        <w:rPr>
          <w:sz w:val="28"/>
          <w:szCs w:val="28"/>
        </w:rPr>
        <w:t>健全建筑垃圾分类管理制度。落实城市建筑垃圾处置核准制度，编制建设工程施工现场建筑垃圾减量化与分类排放工作指引，以末端处置为导向对建筑垃圾进行细化分类，实行分类收集、分类存放、分类处置，分门别类建立台账，杜绝分类模糊不清，实现精准有效管理，为建筑垃圾处置与利用形成源头制度保障。</w:t>
      </w:r>
      <w:r>
        <w:rPr>
          <w:rFonts w:hint="eastAsia"/>
          <w:sz w:val="28"/>
          <w:szCs w:val="28"/>
        </w:rPr>
        <w:t>（责任单位：市城市管理局、市城乡建设委员会）</w:t>
      </w:r>
    </w:p>
    <w:p w:rsidR="005A1ADB" w:rsidRDefault="000B6ECF">
      <w:pPr>
        <w:pStyle w:val="3"/>
        <w:rPr>
          <w:sz w:val="28"/>
        </w:rPr>
      </w:pPr>
      <w:bookmarkStart w:id="101" w:name="_Toc111199995"/>
      <w:bookmarkStart w:id="102" w:name="_Toc115079278"/>
      <w:bookmarkStart w:id="103" w:name="_Toc104561701"/>
      <w:bookmarkStart w:id="104" w:name="_Toc24404"/>
      <w:bookmarkStart w:id="105" w:name="_Toc3020"/>
      <w:r>
        <w:rPr>
          <w:rFonts w:hint="eastAsia"/>
          <w:sz w:val="28"/>
        </w:rPr>
        <w:t xml:space="preserve">4.5 </w:t>
      </w:r>
      <w:r>
        <w:rPr>
          <w:rFonts w:hint="eastAsia"/>
          <w:sz w:val="28"/>
        </w:rPr>
        <w:t>强化监管和利用处置能力，有效防控危险废物环境风险</w:t>
      </w:r>
      <w:bookmarkEnd w:id="101"/>
      <w:bookmarkEnd w:id="102"/>
      <w:bookmarkEnd w:id="103"/>
      <w:bookmarkEnd w:id="104"/>
      <w:bookmarkEnd w:id="105"/>
    </w:p>
    <w:p w:rsidR="005A1ADB" w:rsidRDefault="000B6ECF">
      <w:pPr>
        <w:pStyle w:val="4"/>
      </w:pPr>
      <w:bookmarkStart w:id="106" w:name="_Toc30261"/>
      <w:r>
        <w:rPr>
          <w:rFonts w:hint="eastAsia"/>
        </w:rPr>
        <w:t>4.5.1</w:t>
      </w:r>
      <w:r>
        <w:rPr>
          <w:rFonts w:hint="eastAsia"/>
        </w:rPr>
        <w:t>推进危险废物源头减量</w:t>
      </w:r>
    </w:p>
    <w:p w:rsidR="005A1ADB" w:rsidRDefault="000B6ECF" w:rsidP="00033A19">
      <w:pPr>
        <w:adjustRightInd w:val="0"/>
        <w:snapToGrid w:val="0"/>
        <w:spacing w:line="360" w:lineRule="auto"/>
        <w:ind w:firstLineChars="196" w:firstLine="549"/>
        <w:rPr>
          <w:sz w:val="28"/>
          <w:szCs w:val="28"/>
        </w:rPr>
      </w:pPr>
      <w:r>
        <w:rPr>
          <w:rFonts w:hint="eastAsia"/>
          <w:sz w:val="28"/>
          <w:szCs w:val="28"/>
        </w:rPr>
        <w:t>严格环境准入。加强涉危险废物重点项目环境风险评估，筑牢危险废物源头防线。严格危险废物利用处置项目准入</w:t>
      </w:r>
      <w:r>
        <w:rPr>
          <w:rFonts w:hint="eastAsia"/>
          <w:sz w:val="28"/>
          <w:szCs w:val="28"/>
        </w:rPr>
        <w:t>，严格选址论证，提高污染防治设施配套标准。从严审批区域产生危险废物的工业项目环境影响评价文件。（责任单位：市生态环境局）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t>严格落实源头分类。严格落实源头分类相关要求，按照危险废物的产生环节、理化性质、危险特性和后续处置需求等，进行分类收集、包装、贮存、预处理和利用处置。（责任单位：市生态环境局）</w:t>
      </w:r>
    </w:p>
    <w:p w:rsidR="005A1ADB" w:rsidRDefault="000B6ECF" w:rsidP="00033A19">
      <w:pPr>
        <w:adjustRightInd w:val="0"/>
        <w:snapToGrid w:val="0"/>
        <w:spacing w:line="360" w:lineRule="auto"/>
        <w:ind w:firstLineChars="196" w:firstLine="549"/>
        <w:rPr>
          <w:sz w:val="28"/>
          <w:szCs w:val="28"/>
        </w:rPr>
      </w:pPr>
      <w:r>
        <w:rPr>
          <w:rFonts w:hint="eastAsia"/>
          <w:sz w:val="28"/>
          <w:szCs w:val="28"/>
        </w:rPr>
        <w:t>推进危废源头减量化。支持研发、推广减少工业危险废物产生量和降低工业危险废物危害性的生产工艺和设备。涉危险废物企业应采用先进的生产工艺，落实清洁生产措施，从源头减少危险废物产生量</w:t>
      </w:r>
      <w:r>
        <w:rPr>
          <w:rFonts w:hint="eastAsia"/>
          <w:sz w:val="28"/>
          <w:szCs w:val="28"/>
        </w:rPr>
        <w:lastRenderedPageBreak/>
        <w:t>和危害性，提高资源化利用率，提高规范化</w:t>
      </w:r>
      <w:r>
        <w:rPr>
          <w:rFonts w:hint="eastAsia"/>
          <w:sz w:val="28"/>
          <w:szCs w:val="28"/>
        </w:rPr>
        <w:t>运营操作和管理水平。以汽车制造业等长春市危险废物主要产生行业为重点，大力推广清洁生产，提高资源利用效率。对危险废物经营单位和产生量</w:t>
      </w:r>
      <w:r>
        <w:rPr>
          <w:rFonts w:hint="eastAsia"/>
          <w:sz w:val="28"/>
          <w:szCs w:val="28"/>
        </w:rPr>
        <w:t xml:space="preserve"> 100 </w:t>
      </w:r>
      <w:r>
        <w:rPr>
          <w:rFonts w:hint="eastAsia"/>
          <w:sz w:val="28"/>
          <w:szCs w:val="28"/>
        </w:rPr>
        <w:t>吨以上的产废单位实施强制性清洁生产审核，开展危险废物“减存量、控风险”专项行动。（责任单位：市生态环境局、市工信局、市科技局）</w:t>
      </w:r>
    </w:p>
    <w:bookmarkEnd w:id="106"/>
    <w:p w:rsidR="005A1ADB" w:rsidRDefault="000B6ECF">
      <w:pPr>
        <w:pStyle w:val="4"/>
      </w:pPr>
      <w:r>
        <w:rPr>
          <w:rFonts w:hint="eastAsia"/>
        </w:rPr>
        <w:t>4.5.2</w:t>
      </w:r>
      <w:r>
        <w:rPr>
          <w:rFonts w:hint="eastAsia"/>
        </w:rPr>
        <w:t>统筹利用处置能力建设</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健全分类收运体系。建立有害垃圾收集转运体系，规范完善废矿物油、废铅蓄电池等收集体系。探索开展小量危险废物收运储一体化服务体系试点工程，提升小微企业和工业园区等危险废物收集转运能力，完善废铅蓄电池、废矿物油等危险废</w:t>
      </w:r>
      <w:r>
        <w:rPr>
          <w:rFonts w:hint="eastAsia"/>
          <w:sz w:val="28"/>
          <w:szCs w:val="28"/>
        </w:rPr>
        <w:t>物收运网络，切实保障“小散微”产废企业的危险废物得到及时备案、规范收集、安全贮存和无害化处置。同步建立医疗废物源头管理体系，提升医疗废物收集转运处置能力，完善医疗废物应急处置。（责任单位：市生态环境局、</w:t>
      </w:r>
      <w:r>
        <w:rPr>
          <w:sz w:val="28"/>
          <w:szCs w:val="28"/>
        </w:rPr>
        <w:t>市交通运输局、市卫生健康委</w:t>
      </w:r>
      <w:r>
        <w:rPr>
          <w:rFonts w:hint="eastAsia"/>
          <w:sz w:val="28"/>
          <w:szCs w:val="28"/>
        </w:rPr>
        <w:t>）</w:t>
      </w:r>
    </w:p>
    <w:p w:rsidR="005A1ADB" w:rsidRDefault="000B6ECF" w:rsidP="00033A19">
      <w:pPr>
        <w:adjustRightInd w:val="0"/>
        <w:snapToGrid w:val="0"/>
        <w:spacing w:line="360" w:lineRule="auto"/>
        <w:ind w:firstLineChars="196" w:firstLine="549"/>
        <w:rPr>
          <w:sz w:val="28"/>
          <w:szCs w:val="28"/>
        </w:rPr>
      </w:pPr>
      <w:r>
        <w:rPr>
          <w:rFonts w:hint="eastAsia"/>
          <w:sz w:val="28"/>
          <w:szCs w:val="28"/>
        </w:rPr>
        <w:t>提高危险废物综合利用率。推进长春市循环经济产业园建设，引进建设固体（危险）废物综合利用处置项目，培育和扶持一批中大型企业。鼓励重点提升市域产生量较大但综合利用能力较小的危险废物类别的综合利用水平，推进危险废物综合利用技术升级，进一步提高危险废物资源化利用率。适度发展水泥窑协同处置</w:t>
      </w:r>
      <w:r>
        <w:rPr>
          <w:rFonts w:hint="eastAsia"/>
          <w:sz w:val="28"/>
          <w:szCs w:val="28"/>
        </w:rPr>
        <w:t>危险废物项目，将其作为危险废物利用处置能力的有益补充。（责任单位：市生态环境局）</w:t>
      </w:r>
    </w:p>
    <w:p w:rsidR="005A1ADB" w:rsidRDefault="000B6ECF" w:rsidP="00033A19">
      <w:pPr>
        <w:tabs>
          <w:tab w:val="left" w:pos="4880"/>
        </w:tabs>
        <w:adjustRightInd w:val="0"/>
        <w:snapToGrid w:val="0"/>
        <w:spacing w:line="360" w:lineRule="auto"/>
        <w:ind w:firstLineChars="196" w:firstLine="549"/>
        <w:rPr>
          <w:sz w:val="28"/>
          <w:szCs w:val="28"/>
        </w:rPr>
      </w:pPr>
      <w:r>
        <w:rPr>
          <w:rFonts w:hint="eastAsia"/>
          <w:sz w:val="28"/>
          <w:szCs w:val="28"/>
        </w:rPr>
        <w:t>优化处置设施布局。将危险废物分类收集及无害化处置设施纳入城市基础设施和公共设施范围，保障设施用地。鼓励规范化管理水平高的企业自建的危险废物处置设施办理危险废物经营许可证，开展危</w:t>
      </w:r>
      <w:r>
        <w:rPr>
          <w:rFonts w:hint="eastAsia"/>
          <w:sz w:val="28"/>
          <w:szCs w:val="28"/>
        </w:rPr>
        <w:lastRenderedPageBreak/>
        <w:t>险废物经营活动，释放盈余产能，补充区域能力缺口。鼓励石油开采、石化、化工、汽车等产业基地、大型企业集团根据需要自行配套建设</w:t>
      </w:r>
      <w:r>
        <w:rPr>
          <w:rFonts w:hint="eastAsia"/>
          <w:sz w:val="28"/>
          <w:szCs w:val="28"/>
        </w:rPr>
        <w:t xml:space="preserve"> </w:t>
      </w:r>
      <w:r>
        <w:rPr>
          <w:rFonts w:hint="eastAsia"/>
          <w:sz w:val="28"/>
          <w:szCs w:val="28"/>
        </w:rPr>
        <w:t>高标准危险废物利用处置设施，鼓励化工等工业园区配套建设危险废物集中贮存、预处理和处置设施。探索部分园区在符合环保要求的情况下引入第</w:t>
      </w:r>
      <w:r>
        <w:rPr>
          <w:rFonts w:hint="eastAsia"/>
          <w:sz w:val="28"/>
          <w:szCs w:val="28"/>
        </w:rPr>
        <w:t>三方建设、运行危险废物处置单位，对危险废物进行安全处置。加快危险废物处置补短板项目建设，推进危险废物填埋场建设，规避飞灰远距离运输的环境风险。在环境风险可控前提下，开展“点对点”定向利用豁免试点工程。（责任单位：市生态环境局、市规划和自然资源局）</w:t>
      </w:r>
    </w:p>
    <w:p w:rsidR="005A1ADB" w:rsidRDefault="000B6ECF">
      <w:pPr>
        <w:pStyle w:val="4"/>
      </w:pPr>
      <w:r>
        <w:rPr>
          <w:rFonts w:hint="eastAsia"/>
        </w:rPr>
        <w:t>4.5.3</w:t>
      </w:r>
      <w:r>
        <w:rPr>
          <w:rFonts w:hint="eastAsia"/>
        </w:rPr>
        <w:t>提升全过程监管能力</w:t>
      </w:r>
    </w:p>
    <w:p w:rsidR="005A1ADB" w:rsidRDefault="000B6ECF" w:rsidP="00033A19">
      <w:pPr>
        <w:tabs>
          <w:tab w:val="left" w:pos="4880"/>
        </w:tabs>
        <w:adjustRightInd w:val="0"/>
        <w:snapToGrid w:val="0"/>
        <w:spacing w:line="360" w:lineRule="auto"/>
        <w:ind w:firstLineChars="196" w:firstLine="549"/>
        <w:rPr>
          <w:sz w:val="28"/>
          <w:szCs w:val="28"/>
        </w:rPr>
      </w:pPr>
      <w:r>
        <w:rPr>
          <w:rFonts w:hint="eastAsia"/>
          <w:sz w:val="28"/>
          <w:szCs w:val="28"/>
        </w:rPr>
        <w:t>建立引导机制。市生态环境局等部门定期发布危险废物相关信息，科学引导危险废物利用处置产业发展。促进危险废物利用处置企业规模化发展、专业化运营，落实“放管服”改革要求，鼓励采取多元投资和市场化方式建设规模化危险废物利用设施，重点危险废物产</w:t>
      </w:r>
      <w:r>
        <w:rPr>
          <w:rFonts w:hint="eastAsia"/>
          <w:sz w:val="28"/>
          <w:szCs w:val="28"/>
        </w:rPr>
        <w:t>生和处置企业信息化监控覆盖率达到</w:t>
      </w:r>
      <w:r>
        <w:rPr>
          <w:rFonts w:hint="eastAsia"/>
          <w:sz w:val="28"/>
          <w:szCs w:val="28"/>
        </w:rPr>
        <w:t>100%</w:t>
      </w:r>
      <w:r>
        <w:rPr>
          <w:rFonts w:hint="eastAsia"/>
          <w:sz w:val="28"/>
          <w:szCs w:val="28"/>
        </w:rPr>
        <w:t>；鼓励企业通过兼并重组等方式做大做强，开展专业化建设运营服务，努力打造国际一流的危险废物利用处置企业。（责任单位：市生态环境局）</w:t>
      </w:r>
    </w:p>
    <w:p w:rsidR="005A1ADB" w:rsidRDefault="000B6ECF" w:rsidP="00033A19">
      <w:pPr>
        <w:tabs>
          <w:tab w:val="left" w:pos="4880"/>
        </w:tabs>
        <w:adjustRightInd w:val="0"/>
        <w:snapToGrid w:val="0"/>
        <w:spacing w:line="360" w:lineRule="auto"/>
        <w:ind w:firstLineChars="196" w:firstLine="549"/>
        <w:rPr>
          <w:sz w:val="28"/>
          <w:szCs w:val="28"/>
        </w:rPr>
      </w:pPr>
      <w:r>
        <w:rPr>
          <w:rFonts w:hint="eastAsia"/>
          <w:sz w:val="28"/>
          <w:szCs w:val="28"/>
        </w:rPr>
        <w:t>严格涉危险废物项目环评管理。把好环评审批关，推动长春市危险废物处置能力结构优化、实行总量控制。强化建设项目危险废物环境影响评价事中事后监管。（责任单位：市生态环境局）</w:t>
      </w:r>
    </w:p>
    <w:p w:rsidR="005A1ADB" w:rsidRDefault="000B6ECF" w:rsidP="00033A19">
      <w:pPr>
        <w:tabs>
          <w:tab w:val="left" w:pos="4880"/>
        </w:tabs>
        <w:adjustRightInd w:val="0"/>
        <w:snapToGrid w:val="0"/>
        <w:spacing w:line="360" w:lineRule="auto"/>
        <w:ind w:firstLineChars="196" w:firstLine="549"/>
        <w:rPr>
          <w:sz w:val="28"/>
          <w:szCs w:val="28"/>
        </w:rPr>
      </w:pPr>
      <w:r>
        <w:rPr>
          <w:rFonts w:hint="eastAsia"/>
          <w:sz w:val="28"/>
          <w:szCs w:val="28"/>
        </w:rPr>
        <w:t>完善危险废物经营许可管理。严格把握危险废物经营许可等受理审批事项的管理权限，建立危险废物经营许可审批与环境影响评价文件审批的有效衔接机制。开展排污许可“一证式”管理，结合实施</w:t>
      </w:r>
      <w:r>
        <w:rPr>
          <w:rFonts w:hint="eastAsia"/>
          <w:sz w:val="28"/>
          <w:szCs w:val="28"/>
        </w:rPr>
        <w:t>固定污染源排污许可制度，依法将固体废物纳入排污许可管理。建立健</w:t>
      </w:r>
      <w:r>
        <w:rPr>
          <w:rFonts w:hint="eastAsia"/>
          <w:sz w:val="28"/>
          <w:szCs w:val="28"/>
        </w:rPr>
        <w:lastRenderedPageBreak/>
        <w:t>全危险废物经营许可证的档案管理制度，并定期向社会公布审批颁发危险废物经营许可证的情况。（责任单位：市生态环境局）</w:t>
      </w:r>
    </w:p>
    <w:p w:rsidR="005A1ADB" w:rsidRDefault="000B6ECF" w:rsidP="00033A19">
      <w:pPr>
        <w:tabs>
          <w:tab w:val="left" w:pos="4880"/>
        </w:tabs>
        <w:adjustRightInd w:val="0"/>
        <w:snapToGrid w:val="0"/>
        <w:spacing w:line="360" w:lineRule="auto"/>
        <w:ind w:firstLineChars="196" w:firstLine="549"/>
        <w:rPr>
          <w:sz w:val="28"/>
          <w:szCs w:val="28"/>
        </w:rPr>
      </w:pPr>
      <w:r>
        <w:rPr>
          <w:rFonts w:hint="eastAsia"/>
          <w:sz w:val="28"/>
          <w:szCs w:val="28"/>
        </w:rPr>
        <w:t>加强危险废物规范化管理评估。建立健全覆盖危险废物产生、贮存、收集、转移、处置全过程的监管体系，筑牢“横向到边、纵向到底、全面覆盖”的监管网络。产废单位应依法制定危险废物管理计划、危险废物管理台账、意外事故防范措施和应急预案，并按规定填写危险废物转移联单。（责任单位：市生态环境局）</w:t>
      </w:r>
    </w:p>
    <w:p w:rsidR="005A1ADB" w:rsidRDefault="000B6ECF" w:rsidP="00033A19">
      <w:pPr>
        <w:tabs>
          <w:tab w:val="left" w:pos="4880"/>
        </w:tabs>
        <w:adjustRightInd w:val="0"/>
        <w:snapToGrid w:val="0"/>
        <w:spacing w:line="360" w:lineRule="auto"/>
        <w:ind w:firstLineChars="196" w:firstLine="549"/>
        <w:rPr>
          <w:sz w:val="28"/>
          <w:szCs w:val="28"/>
        </w:rPr>
      </w:pPr>
      <w:r>
        <w:rPr>
          <w:rFonts w:hint="eastAsia"/>
          <w:sz w:val="28"/>
          <w:szCs w:val="28"/>
        </w:rPr>
        <w:t>强化全过程信息化监管能力。充分利用“互联网</w:t>
      </w:r>
      <w:r>
        <w:rPr>
          <w:rFonts w:hint="eastAsia"/>
          <w:sz w:val="28"/>
          <w:szCs w:val="28"/>
        </w:rPr>
        <w:t>+</w:t>
      </w:r>
      <w:r>
        <w:rPr>
          <w:rFonts w:hint="eastAsia"/>
          <w:sz w:val="28"/>
          <w:szCs w:val="28"/>
        </w:rPr>
        <w:t>监管”系统，归集共享各类相关数据，加强数据分析应用，强化对管理决策的支撑险。加强事中事后环境监管，实现转移运输轨迹实时在线监控，强化危险废物转移过程联动监管。引导鼓励第三方建立小微企业危废收集平台，通过“委托代理”等信息化运营手段，简化危废转移审批程序，实现危废全生命周期“能定位、能查询、能跟踪”的功能。（责任单位：市生态环境局、市交通运输局、市邮政管理局）</w:t>
      </w:r>
    </w:p>
    <w:p w:rsidR="005A1ADB" w:rsidRDefault="000B6ECF">
      <w:pPr>
        <w:pStyle w:val="4"/>
      </w:pPr>
      <w:r>
        <w:rPr>
          <w:rFonts w:hint="eastAsia"/>
        </w:rPr>
        <w:t>4.5.4</w:t>
      </w:r>
      <w:r>
        <w:rPr>
          <w:rFonts w:hint="eastAsia"/>
        </w:rPr>
        <w:t>提升危险废物污染风险防范能力</w:t>
      </w:r>
    </w:p>
    <w:p w:rsidR="005A1ADB" w:rsidRDefault="000B6ECF" w:rsidP="00033A19">
      <w:pPr>
        <w:tabs>
          <w:tab w:val="left" w:pos="4880"/>
        </w:tabs>
        <w:adjustRightInd w:val="0"/>
        <w:snapToGrid w:val="0"/>
        <w:spacing w:line="360" w:lineRule="auto"/>
        <w:ind w:firstLineChars="196" w:firstLine="549"/>
        <w:rPr>
          <w:sz w:val="28"/>
          <w:szCs w:val="28"/>
        </w:rPr>
      </w:pPr>
      <w:r>
        <w:rPr>
          <w:rFonts w:hint="eastAsia"/>
          <w:sz w:val="28"/>
          <w:szCs w:val="28"/>
        </w:rPr>
        <w:t>强化环境风险隐患排查和防控。制定长春市企业危险废物重点监管清单，加</w:t>
      </w:r>
      <w:r>
        <w:rPr>
          <w:rFonts w:hint="eastAsia"/>
          <w:sz w:val="28"/>
          <w:szCs w:val="28"/>
        </w:rPr>
        <w:t>强对危险废物相关重点行业的监管，深入排查化工园区环境风险隐患，督促落实化工园区生态环境保护主体责任和“一园一策”危险废物利用处置要求，保证工业源危险废物转移电子联单运行率达到</w:t>
      </w:r>
      <w:r>
        <w:rPr>
          <w:rFonts w:hint="eastAsia"/>
          <w:sz w:val="28"/>
          <w:szCs w:val="28"/>
        </w:rPr>
        <w:t>100%</w:t>
      </w:r>
      <w:r>
        <w:rPr>
          <w:rFonts w:hint="eastAsia"/>
          <w:sz w:val="28"/>
          <w:szCs w:val="28"/>
        </w:rPr>
        <w:t>。针对贮存期限长、贮存环境风险突出、危险废物产生种类与处置能力不符的企业，开展“减库存、控风险”行动。对危险废物种类贮存量较大的化工、危险废物经营等重点行业企业，开展危险废物专项整治，防止危险废物扬散、流失、渗漏，污染土壤和地下水。（责任单位：市生态环境局）</w:t>
      </w:r>
    </w:p>
    <w:p w:rsidR="005A1ADB" w:rsidRDefault="000B6ECF" w:rsidP="00033A19">
      <w:pPr>
        <w:tabs>
          <w:tab w:val="left" w:pos="4880"/>
        </w:tabs>
        <w:adjustRightInd w:val="0"/>
        <w:snapToGrid w:val="0"/>
        <w:spacing w:line="360" w:lineRule="auto"/>
        <w:ind w:firstLineChars="196" w:firstLine="549"/>
        <w:rPr>
          <w:sz w:val="28"/>
          <w:szCs w:val="28"/>
        </w:rPr>
      </w:pPr>
      <w:r>
        <w:rPr>
          <w:rFonts w:hint="eastAsia"/>
          <w:sz w:val="28"/>
          <w:szCs w:val="28"/>
        </w:rPr>
        <w:lastRenderedPageBreak/>
        <w:t>建立部门联防联控联治机制。相关部门要落实在危险废物利用处置、污染环境防</w:t>
      </w:r>
      <w:r>
        <w:rPr>
          <w:rFonts w:hint="eastAsia"/>
          <w:sz w:val="28"/>
          <w:szCs w:val="28"/>
        </w:rPr>
        <w:t>治、安全生产、运输安全以及卫生防疫等方面的监管职责，建立监管协作和联合执法工作机制，强化执法衔接，实现信息及时、充分、有效共享，形成工作合力。深入推进跨部门协同应急处置危险废物突发环境事件及安全事故次生污染，完善信息报告和公开机制。进一步健全危险废物突发环境污染事故应急监测和协调处置机制。在打击危险废物非法转移、非法处置、污染事件调查、取缔非法窝点等方面建立合作机制，提高联合应对突发性危险废物环境污染事故的快速处置能力。（责任单位：各成员单位）</w:t>
      </w:r>
    </w:p>
    <w:p w:rsidR="005A1ADB" w:rsidRDefault="000B6ECF" w:rsidP="00033A19">
      <w:pPr>
        <w:tabs>
          <w:tab w:val="left" w:pos="4880"/>
        </w:tabs>
        <w:adjustRightInd w:val="0"/>
        <w:snapToGrid w:val="0"/>
        <w:spacing w:line="360" w:lineRule="auto"/>
        <w:ind w:firstLineChars="196" w:firstLine="549"/>
        <w:rPr>
          <w:sz w:val="28"/>
          <w:szCs w:val="28"/>
        </w:rPr>
      </w:pPr>
      <w:r>
        <w:rPr>
          <w:rFonts w:hint="eastAsia"/>
          <w:sz w:val="28"/>
          <w:szCs w:val="28"/>
        </w:rPr>
        <w:t>提升环境风险预警能力。完善重点工业园区、化工企业等重点风险源环</w:t>
      </w:r>
      <w:r>
        <w:rPr>
          <w:rFonts w:hint="eastAsia"/>
          <w:sz w:val="28"/>
          <w:szCs w:val="28"/>
        </w:rPr>
        <w:t>境风险预警体系，推动存在重大环境风险企业建设“一体化”、“智能化”、“可视化”预警体系，跟踪重点领域、重点行业、重点环节、重点岗位的危险废物环境安全风险管控，确保危险废物相关重大环境污染事件数量为零。（责任单位：市生态环境局）</w:t>
      </w:r>
    </w:p>
    <w:p w:rsidR="005A1ADB" w:rsidRDefault="000B6ECF" w:rsidP="00033A19">
      <w:pPr>
        <w:tabs>
          <w:tab w:val="left" w:pos="4880"/>
        </w:tabs>
        <w:adjustRightInd w:val="0"/>
        <w:snapToGrid w:val="0"/>
        <w:spacing w:line="360" w:lineRule="auto"/>
        <w:ind w:firstLineChars="196" w:firstLine="549"/>
        <w:rPr>
          <w:sz w:val="28"/>
          <w:szCs w:val="28"/>
        </w:rPr>
      </w:pPr>
      <w:r>
        <w:rPr>
          <w:rFonts w:hint="eastAsia"/>
          <w:sz w:val="28"/>
          <w:szCs w:val="28"/>
        </w:rPr>
        <w:t>提升环境应急响应能力。完善环境应急响应预案，加强危险废物环境应急能力建设。完善危险废物突发环境事件现场指挥与协调制度、应急事故调查机制，以及信息报告和公开机制。健全危险废物突发环境事件应急指挥决策支持系统，完善环境风险源、敏感目标、环境应急能力及环境应急预案等数据库。加强危险废物环境</w:t>
      </w:r>
      <w:r>
        <w:rPr>
          <w:rFonts w:hint="eastAsia"/>
          <w:sz w:val="28"/>
          <w:szCs w:val="28"/>
        </w:rPr>
        <w:t>应急管理队伍、专家队伍建设，将危险废物利用处置龙企业纳入突发环境事件应急处置工作体系。强化危险废物环境应急物资储备和信息化建设。（责任单位：市生态环境局、市交通运输局）</w:t>
      </w:r>
    </w:p>
    <w:p w:rsidR="005A1ADB" w:rsidRDefault="000B6ECF">
      <w:pPr>
        <w:pStyle w:val="3"/>
        <w:tabs>
          <w:tab w:val="left" w:pos="3261"/>
        </w:tabs>
        <w:rPr>
          <w:sz w:val="28"/>
        </w:rPr>
      </w:pPr>
      <w:bookmarkStart w:id="107" w:name="_Toc7995"/>
      <w:bookmarkStart w:id="108" w:name="_Toc104561702"/>
      <w:bookmarkStart w:id="109" w:name="_Toc115079279"/>
      <w:bookmarkStart w:id="110" w:name="_Toc111199996"/>
      <w:bookmarkStart w:id="111" w:name="_Toc3674"/>
      <w:r>
        <w:rPr>
          <w:rFonts w:hint="eastAsia"/>
          <w:sz w:val="28"/>
        </w:rPr>
        <w:lastRenderedPageBreak/>
        <w:t xml:space="preserve">4.6 </w:t>
      </w:r>
      <w:r>
        <w:rPr>
          <w:rFonts w:hint="eastAsia"/>
          <w:sz w:val="28"/>
        </w:rPr>
        <w:t>加强制度、技术、市场和监管体系建设，提升系统保障能力</w:t>
      </w:r>
      <w:bookmarkEnd w:id="107"/>
      <w:bookmarkEnd w:id="108"/>
      <w:bookmarkEnd w:id="109"/>
      <w:bookmarkEnd w:id="110"/>
      <w:bookmarkEnd w:id="111"/>
    </w:p>
    <w:p w:rsidR="005A1ADB" w:rsidRDefault="000B6ECF">
      <w:pPr>
        <w:pStyle w:val="4"/>
      </w:pPr>
      <w:bookmarkStart w:id="112" w:name="_Toc22304"/>
      <w:r>
        <w:rPr>
          <w:rFonts w:hint="eastAsia"/>
        </w:rPr>
        <w:t>4.6.1</w:t>
      </w:r>
      <w:bookmarkEnd w:id="112"/>
      <w:r>
        <w:rPr>
          <w:rFonts w:hint="eastAsia"/>
        </w:rPr>
        <w:t>强化顶层设计引领，建立工作长效机制</w:t>
      </w:r>
    </w:p>
    <w:p w:rsidR="005A1ADB" w:rsidRDefault="000B6ECF" w:rsidP="00033A19">
      <w:pPr>
        <w:adjustRightInd w:val="0"/>
        <w:snapToGrid w:val="0"/>
        <w:spacing w:line="360" w:lineRule="auto"/>
        <w:ind w:firstLineChars="196" w:firstLine="549"/>
        <w:rPr>
          <w:sz w:val="28"/>
          <w:szCs w:val="28"/>
        </w:rPr>
      </w:pPr>
      <w:r>
        <w:rPr>
          <w:rFonts w:hint="eastAsia"/>
          <w:sz w:val="28"/>
          <w:szCs w:val="28"/>
        </w:rPr>
        <w:t>结合部门职责，细化任务分工。以问题为导向，明确现有</w:t>
      </w:r>
      <w:r>
        <w:rPr>
          <w:sz w:val="28"/>
          <w:szCs w:val="28"/>
        </w:rPr>
        <w:t>固体废物管理的空白点、薄弱点、关键点，建立部门责任清单、</w:t>
      </w:r>
      <w:r>
        <w:rPr>
          <w:rFonts w:hint="eastAsia"/>
          <w:sz w:val="28"/>
          <w:szCs w:val="28"/>
        </w:rPr>
        <w:t>任务清单、项目清单</w:t>
      </w:r>
      <w:r>
        <w:rPr>
          <w:sz w:val="28"/>
          <w:szCs w:val="28"/>
        </w:rPr>
        <w:t>，</w:t>
      </w:r>
      <w:r>
        <w:rPr>
          <w:rFonts w:hint="eastAsia"/>
          <w:sz w:val="28"/>
          <w:szCs w:val="28"/>
        </w:rPr>
        <w:t>理清部门责任，划定管控边界，</w:t>
      </w:r>
      <w:r>
        <w:rPr>
          <w:sz w:val="28"/>
          <w:szCs w:val="28"/>
        </w:rPr>
        <w:t>形成分工明确、权责清晰、协同增效、信息共享</w:t>
      </w:r>
      <w:r>
        <w:rPr>
          <w:rFonts w:hint="eastAsia"/>
          <w:sz w:val="28"/>
          <w:szCs w:val="28"/>
        </w:rPr>
        <w:t>、齐抓共管的绿色沟通和协调机制</w:t>
      </w:r>
      <w:r>
        <w:rPr>
          <w:sz w:val="28"/>
          <w:szCs w:val="28"/>
        </w:rPr>
        <w:t>，实现对</w:t>
      </w:r>
      <w:r>
        <w:rPr>
          <w:sz w:val="28"/>
          <w:szCs w:val="28"/>
        </w:rPr>
        <w:t>固体废物的全过程监管。</w:t>
      </w:r>
      <w:r>
        <w:rPr>
          <w:rFonts w:hint="eastAsia"/>
          <w:sz w:val="28"/>
          <w:szCs w:val="28"/>
        </w:rPr>
        <w:t>（责任单位：各成员单位）</w:t>
      </w:r>
    </w:p>
    <w:p w:rsidR="005A1ADB" w:rsidRDefault="000B6ECF" w:rsidP="00033A19">
      <w:pPr>
        <w:adjustRightInd w:val="0"/>
        <w:snapToGrid w:val="0"/>
        <w:spacing w:line="360" w:lineRule="auto"/>
        <w:ind w:firstLineChars="196" w:firstLine="549"/>
        <w:rPr>
          <w:sz w:val="28"/>
          <w:szCs w:val="28"/>
        </w:rPr>
      </w:pPr>
      <w:r>
        <w:rPr>
          <w:rFonts w:hint="eastAsia"/>
          <w:sz w:val="28"/>
          <w:szCs w:val="28"/>
        </w:rPr>
        <w:t>建立和执行考核评估管理机制。</w:t>
      </w:r>
      <w:r>
        <w:rPr>
          <w:sz w:val="28"/>
          <w:szCs w:val="28"/>
        </w:rPr>
        <w:t>按照</w:t>
      </w:r>
      <w:r>
        <w:rPr>
          <w:rFonts w:hint="eastAsia"/>
          <w:sz w:val="28"/>
          <w:szCs w:val="28"/>
        </w:rPr>
        <w:t>长春市</w:t>
      </w:r>
      <w:r>
        <w:rPr>
          <w:sz w:val="28"/>
          <w:szCs w:val="28"/>
        </w:rPr>
        <w:t>“</w:t>
      </w:r>
      <w:r>
        <w:rPr>
          <w:sz w:val="28"/>
          <w:szCs w:val="28"/>
        </w:rPr>
        <w:t>无废城市</w:t>
      </w:r>
      <w:r>
        <w:rPr>
          <w:sz w:val="28"/>
          <w:szCs w:val="28"/>
        </w:rPr>
        <w:t>”</w:t>
      </w:r>
      <w:r>
        <w:rPr>
          <w:sz w:val="28"/>
          <w:szCs w:val="28"/>
        </w:rPr>
        <w:t>考核评价体系和固体废物的数据来源、统计范围、统计口径和方法，开展固体废物基础数据调查工作，摸清底数，严格开展</w:t>
      </w:r>
      <w:r>
        <w:rPr>
          <w:sz w:val="28"/>
          <w:szCs w:val="28"/>
        </w:rPr>
        <w:t>“</w:t>
      </w:r>
      <w:r>
        <w:rPr>
          <w:sz w:val="28"/>
          <w:szCs w:val="28"/>
        </w:rPr>
        <w:t>无废城市</w:t>
      </w:r>
      <w:r>
        <w:rPr>
          <w:sz w:val="28"/>
          <w:szCs w:val="28"/>
        </w:rPr>
        <w:t>”</w:t>
      </w:r>
      <w:r>
        <w:rPr>
          <w:sz w:val="28"/>
          <w:szCs w:val="28"/>
        </w:rPr>
        <w:t>建设年度任务完成情况、公众满意程度等相关方面考核评价，考核结果作为领导班子和领导干部综合考核评价、奖惩任免的重要依据。</w:t>
      </w:r>
      <w:r>
        <w:rPr>
          <w:rFonts w:hint="eastAsia"/>
          <w:sz w:val="28"/>
          <w:szCs w:val="28"/>
        </w:rPr>
        <w:t>（责任单位：各成员单位）</w:t>
      </w:r>
    </w:p>
    <w:p w:rsidR="005A1ADB" w:rsidRDefault="000B6ECF">
      <w:pPr>
        <w:pStyle w:val="4"/>
      </w:pPr>
      <w:bookmarkStart w:id="113" w:name="_Toc24093"/>
      <w:r>
        <w:rPr>
          <w:rFonts w:hint="eastAsia"/>
        </w:rPr>
        <w:t>4.6.2</w:t>
      </w:r>
      <w:r>
        <w:t>加强研发创新，构建先进技术体系</w:t>
      </w:r>
      <w:bookmarkEnd w:id="113"/>
    </w:p>
    <w:p w:rsidR="005A1ADB" w:rsidRDefault="000B6ECF" w:rsidP="00033A19">
      <w:pPr>
        <w:adjustRightInd w:val="0"/>
        <w:snapToGrid w:val="0"/>
        <w:spacing w:line="360" w:lineRule="auto"/>
        <w:ind w:firstLineChars="196" w:firstLine="549"/>
        <w:rPr>
          <w:sz w:val="28"/>
          <w:szCs w:val="28"/>
        </w:rPr>
      </w:pPr>
      <w:r>
        <w:rPr>
          <w:rFonts w:hint="eastAsia"/>
          <w:sz w:val="28"/>
          <w:szCs w:val="28"/>
        </w:rPr>
        <w:t>依托和引导科研院所、高等院校、高新企业等组建固体废物资源化利用创新战略联盟，开展固体废物鉴别、固废处置和综合利用技术研发等相关工作，重点推动危险废物全过程精细化管理、飞灰资源利用等关键固体废物技术的研发集成与示范。通过政策和制度创新，充分发挥企业的主动性和积极性，运用市场机制激励企业开展先进环保技术应用和改造，推动固体废物污染防治新技术、新产品、新工艺、新材料等科研成果市场化、产业化转变。（责任单位：市生态环境局）</w:t>
      </w:r>
    </w:p>
    <w:p w:rsidR="005A1ADB" w:rsidRDefault="000B6ECF">
      <w:pPr>
        <w:pStyle w:val="4"/>
      </w:pPr>
      <w:bookmarkStart w:id="114" w:name="_Toc8218"/>
      <w:r>
        <w:rPr>
          <w:rFonts w:hint="eastAsia"/>
        </w:rPr>
        <w:lastRenderedPageBreak/>
        <w:t>4.6.3</w:t>
      </w:r>
      <w:bookmarkEnd w:id="114"/>
      <w:r>
        <w:rPr>
          <w:rFonts w:hint="eastAsia"/>
        </w:rPr>
        <w:t>完善政策激励机制，优化投融资机制</w:t>
      </w:r>
    </w:p>
    <w:p w:rsidR="005A1ADB" w:rsidRDefault="000B6ECF" w:rsidP="00033A19">
      <w:pPr>
        <w:adjustRightInd w:val="0"/>
        <w:snapToGrid w:val="0"/>
        <w:spacing w:line="360" w:lineRule="auto"/>
        <w:ind w:firstLineChars="196" w:firstLine="549"/>
        <w:rPr>
          <w:sz w:val="28"/>
          <w:szCs w:val="28"/>
        </w:rPr>
      </w:pPr>
      <w:r>
        <w:rPr>
          <w:rFonts w:hint="eastAsia"/>
          <w:sz w:val="28"/>
          <w:szCs w:val="28"/>
        </w:rPr>
        <w:t>优化市场营商环境，鼓励各类市场主体参与“无废城市</w:t>
      </w:r>
      <w:r>
        <w:rPr>
          <w:rFonts w:hint="eastAsia"/>
          <w:sz w:val="28"/>
          <w:szCs w:val="28"/>
        </w:rPr>
        <w:t>”建设工作。制定针对固体废物资源再生利用企业的绿色信贷金融产品，完善金融激励机制，优化投融资机制。加大资源综合利用产品政府采购力度，把资源综合利用产品纳入政府采购产品目录。严格落实资源综合利用企业增值税退税等优惠政策，引导金融机构资金向工业固体废物综合利用领域倾斜，加大绿色信贷支持力度，推出多样化的金融产品、为重点企业提供定制化的金融服务方案。开展企业环保信用评价工作，激励相关企业主动开展各类废物减量和处理处置工作。（责任单位：市税务局、市金融办、市工信局、人民银行长春中心支行和吉林银保监局）</w:t>
      </w:r>
    </w:p>
    <w:p w:rsidR="005A1ADB" w:rsidRDefault="000B6ECF">
      <w:pPr>
        <w:pStyle w:val="4"/>
      </w:pPr>
      <w:bookmarkStart w:id="115" w:name="_Toc10230"/>
      <w:r>
        <w:rPr>
          <w:rFonts w:hint="eastAsia"/>
        </w:rPr>
        <w:t>4.6.4</w:t>
      </w:r>
      <w:r>
        <w:rPr>
          <w:rFonts w:hint="eastAsia"/>
        </w:rPr>
        <w:t>强</w:t>
      </w:r>
      <w:r>
        <w:rPr>
          <w:rFonts w:hint="eastAsia"/>
        </w:rPr>
        <w:t>化信息平台功能</w:t>
      </w:r>
      <w:r>
        <w:t>，</w:t>
      </w:r>
      <w:r>
        <w:rPr>
          <w:rFonts w:hint="eastAsia"/>
        </w:rPr>
        <w:t>建立全链条闭环管理</w:t>
      </w:r>
      <w:r>
        <w:t>体系</w:t>
      </w:r>
      <w:bookmarkEnd w:id="115"/>
    </w:p>
    <w:p w:rsidR="005A1ADB" w:rsidRDefault="000B6ECF" w:rsidP="00033A19">
      <w:pPr>
        <w:adjustRightInd w:val="0"/>
        <w:snapToGrid w:val="0"/>
        <w:spacing w:line="360" w:lineRule="auto"/>
        <w:ind w:firstLineChars="196" w:firstLine="549"/>
        <w:rPr>
          <w:sz w:val="28"/>
          <w:szCs w:val="28"/>
        </w:rPr>
      </w:pPr>
      <w:r>
        <w:rPr>
          <w:rFonts w:hint="eastAsia"/>
          <w:sz w:val="28"/>
          <w:szCs w:val="28"/>
        </w:rPr>
        <w:t>完善“互联网</w:t>
      </w:r>
      <w:r>
        <w:rPr>
          <w:rFonts w:hint="eastAsia"/>
          <w:sz w:val="28"/>
          <w:szCs w:val="28"/>
        </w:rPr>
        <w:t>+</w:t>
      </w:r>
      <w:r>
        <w:rPr>
          <w:rFonts w:hint="eastAsia"/>
          <w:sz w:val="28"/>
          <w:szCs w:val="28"/>
        </w:rPr>
        <w:t>”固体废物管理措施。完善固体废物及危险废物“互联网</w:t>
      </w:r>
      <w:r>
        <w:rPr>
          <w:rFonts w:hint="eastAsia"/>
          <w:sz w:val="28"/>
          <w:szCs w:val="28"/>
        </w:rPr>
        <w:t>+</w:t>
      </w:r>
      <w:r>
        <w:rPr>
          <w:rFonts w:hint="eastAsia"/>
          <w:sz w:val="28"/>
          <w:szCs w:val="28"/>
        </w:rPr>
        <w:t>”监管系统，实现处置全过程监管和可追溯。探索“互联网</w:t>
      </w:r>
      <w:r>
        <w:rPr>
          <w:rFonts w:hint="eastAsia"/>
          <w:sz w:val="28"/>
          <w:szCs w:val="28"/>
        </w:rPr>
        <w:t>+</w:t>
      </w:r>
      <w:r>
        <w:rPr>
          <w:rFonts w:hint="eastAsia"/>
          <w:sz w:val="28"/>
          <w:szCs w:val="28"/>
        </w:rPr>
        <w:t>”资源配置新模式，优化固废处置能力和需求的匹配，配套服务各企业和产业园区，解决小微企业固废危废处理难的紧迫问题，让固废、危废能够匹配到资源循环利用的最佳处置方式，让固体废物实现“资源”、“合规”双达标。（责任单位：市生态环境局）</w:t>
      </w:r>
    </w:p>
    <w:p w:rsidR="005A1ADB" w:rsidRDefault="000B6ECF" w:rsidP="00033A19">
      <w:pPr>
        <w:adjustRightInd w:val="0"/>
        <w:snapToGrid w:val="0"/>
        <w:spacing w:line="360" w:lineRule="auto"/>
        <w:ind w:firstLineChars="196" w:firstLine="549"/>
        <w:rPr>
          <w:sz w:val="28"/>
          <w:szCs w:val="28"/>
        </w:rPr>
      </w:pPr>
      <w:r>
        <w:rPr>
          <w:sz w:val="28"/>
          <w:szCs w:val="28"/>
        </w:rPr>
        <w:t>提高固体废物全域风险防控能力。建立和完善固体废物管理与行政执法协作机制，生态环境、公安、城市管理、交通运输等部门加强信息共</w:t>
      </w:r>
      <w:r>
        <w:rPr>
          <w:sz w:val="28"/>
          <w:szCs w:val="28"/>
        </w:rPr>
        <w:t>享，强化部门联动，严厉打击非法转移和倾倒固体废物违法犯罪行为，</w:t>
      </w:r>
      <w:r>
        <w:rPr>
          <w:rFonts w:hint="eastAsia"/>
          <w:sz w:val="28"/>
          <w:szCs w:val="28"/>
        </w:rPr>
        <w:t>固体废物环境污染刑事案件立案率达到</w:t>
      </w:r>
      <w:r>
        <w:rPr>
          <w:rFonts w:hint="eastAsia"/>
          <w:sz w:val="28"/>
          <w:szCs w:val="28"/>
        </w:rPr>
        <w:t>100%</w:t>
      </w:r>
      <w:r>
        <w:rPr>
          <w:sz w:val="28"/>
          <w:szCs w:val="28"/>
        </w:rPr>
        <w:t>。建立固体废物污染环境事件应急处置机制，明确突发环境事件的组织指挥机制、风险评估、监测预警、信息报告、应急处置措施、队伍物资保障及调</w:t>
      </w:r>
      <w:r>
        <w:rPr>
          <w:sz w:val="28"/>
          <w:szCs w:val="28"/>
        </w:rPr>
        <w:lastRenderedPageBreak/>
        <w:t>动程序，提高固体废物污染环境事件应急处置能力。</w:t>
      </w:r>
      <w:r>
        <w:rPr>
          <w:rFonts w:hint="eastAsia"/>
          <w:sz w:val="28"/>
          <w:szCs w:val="28"/>
        </w:rPr>
        <w:t>（责任单位：各成员单位）</w:t>
      </w:r>
    </w:p>
    <w:p w:rsidR="005A1ADB" w:rsidRDefault="005A1ADB" w:rsidP="00033A19">
      <w:pPr>
        <w:adjustRightInd w:val="0"/>
        <w:snapToGrid w:val="0"/>
        <w:spacing w:line="360" w:lineRule="auto"/>
        <w:ind w:firstLineChars="196" w:firstLine="549"/>
        <w:rPr>
          <w:sz w:val="28"/>
          <w:szCs w:val="28"/>
        </w:rPr>
        <w:sectPr w:rsidR="005A1ADB">
          <w:pgSz w:w="11906" w:h="16838"/>
          <w:pgMar w:top="1440" w:right="1800" w:bottom="1440" w:left="1800" w:header="851" w:footer="992" w:gutter="0"/>
          <w:cols w:space="425"/>
          <w:docGrid w:type="lines" w:linePitch="312"/>
        </w:sectPr>
      </w:pPr>
    </w:p>
    <w:p w:rsidR="005A1ADB" w:rsidRDefault="000B6ECF">
      <w:pPr>
        <w:pStyle w:val="2"/>
        <w:rPr>
          <w:sz w:val="28"/>
        </w:rPr>
      </w:pPr>
      <w:bookmarkStart w:id="116" w:name="_Toc111199997"/>
      <w:bookmarkStart w:id="117" w:name="_Toc115079280"/>
      <w:bookmarkStart w:id="118" w:name="_Toc104561708"/>
      <w:bookmarkStart w:id="119" w:name="_Toc14659"/>
      <w:bookmarkStart w:id="120" w:name="_Toc10386"/>
      <w:r>
        <w:rPr>
          <w:rFonts w:hint="eastAsia"/>
          <w:sz w:val="28"/>
        </w:rPr>
        <w:lastRenderedPageBreak/>
        <w:t>五、保障措施</w:t>
      </w:r>
      <w:bookmarkEnd w:id="116"/>
      <w:bookmarkEnd w:id="117"/>
      <w:bookmarkEnd w:id="118"/>
      <w:bookmarkEnd w:id="119"/>
      <w:bookmarkEnd w:id="120"/>
    </w:p>
    <w:p w:rsidR="005A1ADB" w:rsidRDefault="000B6ECF">
      <w:pPr>
        <w:pStyle w:val="3"/>
        <w:rPr>
          <w:sz w:val="28"/>
        </w:rPr>
      </w:pPr>
      <w:bookmarkStart w:id="121" w:name="_Toc115079281"/>
      <w:bookmarkStart w:id="122" w:name="_Toc28086"/>
      <w:bookmarkStart w:id="123" w:name="_Toc111199998"/>
      <w:bookmarkStart w:id="124" w:name="_Toc104561709"/>
      <w:bookmarkStart w:id="125" w:name="_Toc20645"/>
      <w:r>
        <w:rPr>
          <w:rFonts w:hint="eastAsia"/>
          <w:sz w:val="28"/>
        </w:rPr>
        <w:t xml:space="preserve">5.1 </w:t>
      </w:r>
      <w:r>
        <w:rPr>
          <w:rFonts w:hint="eastAsia"/>
          <w:sz w:val="28"/>
        </w:rPr>
        <w:t>加强组织领导</w:t>
      </w:r>
      <w:bookmarkEnd w:id="121"/>
      <w:bookmarkEnd w:id="122"/>
      <w:bookmarkEnd w:id="123"/>
      <w:bookmarkEnd w:id="124"/>
      <w:bookmarkEnd w:id="125"/>
    </w:p>
    <w:p w:rsidR="005A1ADB" w:rsidRDefault="000B6ECF">
      <w:pPr>
        <w:adjustRightInd w:val="0"/>
        <w:snapToGrid w:val="0"/>
        <w:spacing w:line="360" w:lineRule="auto"/>
        <w:ind w:firstLineChars="253" w:firstLine="708"/>
        <w:rPr>
          <w:sz w:val="28"/>
          <w:szCs w:val="28"/>
        </w:rPr>
      </w:pPr>
      <w:r>
        <w:rPr>
          <w:rFonts w:hint="eastAsia"/>
          <w:sz w:val="28"/>
          <w:szCs w:val="28"/>
        </w:rPr>
        <w:t>坚持总体统筹，强化部门联动。依托市委市政府生态安全暨生态环境保护领导小组，统筹领导全市“无废城市”建设工作，成立由市政府分管领导任组长，</w:t>
      </w:r>
      <w:r>
        <w:rPr>
          <w:rFonts w:hint="eastAsia"/>
          <w:sz w:val="28"/>
          <w:szCs w:val="28"/>
        </w:rPr>
        <w:t>市政府副秘书长和市生态环境局主要领导任副组长，相关单位分管负责人为成员的“无废城市”工作专班，建立横向到边、纵向到底的协调联动机制；工作专班下设办公室，负责全市“无废城市”建设日常工作，进一步明确责任清单、任务清单和项目清单，形成系统完善的工作调度、评估、考核机制；各区县政府要切实落实属地主体责任，市级有关部门要强化责任担当，密切协作配合，形成工作合力。</w:t>
      </w:r>
    </w:p>
    <w:p w:rsidR="005A1ADB" w:rsidRDefault="000B6ECF">
      <w:pPr>
        <w:pStyle w:val="3"/>
        <w:rPr>
          <w:sz w:val="28"/>
        </w:rPr>
      </w:pPr>
      <w:bookmarkStart w:id="126" w:name="_Toc111199999"/>
      <w:bookmarkStart w:id="127" w:name="_Toc115079282"/>
      <w:bookmarkStart w:id="128" w:name="_Toc10243"/>
      <w:bookmarkStart w:id="129" w:name="_Toc104561710"/>
      <w:bookmarkStart w:id="130" w:name="_Toc15822"/>
      <w:r>
        <w:rPr>
          <w:rFonts w:hint="eastAsia"/>
          <w:sz w:val="28"/>
        </w:rPr>
        <w:t xml:space="preserve">5.2 </w:t>
      </w:r>
      <w:r>
        <w:rPr>
          <w:rFonts w:hint="eastAsia"/>
          <w:sz w:val="28"/>
        </w:rPr>
        <w:t>加强技术指导</w:t>
      </w:r>
      <w:bookmarkEnd w:id="126"/>
      <w:bookmarkEnd w:id="127"/>
      <w:bookmarkEnd w:id="128"/>
      <w:bookmarkEnd w:id="129"/>
      <w:bookmarkEnd w:id="130"/>
    </w:p>
    <w:p w:rsidR="005A1ADB" w:rsidRDefault="000B6ECF">
      <w:pPr>
        <w:adjustRightInd w:val="0"/>
        <w:snapToGrid w:val="0"/>
        <w:spacing w:line="360" w:lineRule="auto"/>
        <w:ind w:firstLineChars="253" w:firstLine="708"/>
        <w:rPr>
          <w:sz w:val="28"/>
          <w:szCs w:val="28"/>
        </w:rPr>
      </w:pPr>
      <w:r>
        <w:rPr>
          <w:rFonts w:hint="eastAsia"/>
          <w:sz w:val="28"/>
          <w:szCs w:val="28"/>
        </w:rPr>
        <w:t>强化技术支撑，发挥智库作用。充分激活专家技术团队能力，在重点任务的推进、制度技术体系的建立以及重点项目的引进等方面提供全方位的技术支</w:t>
      </w:r>
      <w:r>
        <w:rPr>
          <w:rFonts w:hint="eastAsia"/>
          <w:sz w:val="28"/>
          <w:szCs w:val="28"/>
        </w:rPr>
        <w:t>持，并指导各区县组织开展“无废城市”建设工作。与高校团队、科研院所、社会资本建立多方协调联动关系，深化推进工业固体废物、农业固体废物、生活源固体废物、建筑垃圾、危险废物等相关领域产学研合作，拓展和研发新技术、新工艺、新产品，以技术指导、技术创新助力“无废城市”建设与发展。</w:t>
      </w:r>
    </w:p>
    <w:p w:rsidR="005A1ADB" w:rsidRDefault="000B6ECF">
      <w:pPr>
        <w:pStyle w:val="3"/>
        <w:rPr>
          <w:sz w:val="28"/>
        </w:rPr>
      </w:pPr>
      <w:bookmarkStart w:id="131" w:name="_Toc104561711"/>
      <w:bookmarkStart w:id="132" w:name="_Toc115079283"/>
      <w:bookmarkStart w:id="133" w:name="_Toc111200000"/>
      <w:bookmarkStart w:id="134" w:name="_Toc9373"/>
      <w:bookmarkStart w:id="135" w:name="_Toc11927"/>
      <w:r>
        <w:rPr>
          <w:rFonts w:hint="eastAsia"/>
          <w:sz w:val="28"/>
        </w:rPr>
        <w:t xml:space="preserve">5.3 </w:t>
      </w:r>
      <w:r>
        <w:rPr>
          <w:rFonts w:hint="eastAsia"/>
          <w:sz w:val="28"/>
        </w:rPr>
        <w:t>加大资金支持</w:t>
      </w:r>
      <w:bookmarkEnd w:id="131"/>
      <w:bookmarkEnd w:id="132"/>
      <w:bookmarkEnd w:id="133"/>
      <w:bookmarkEnd w:id="134"/>
      <w:bookmarkEnd w:id="135"/>
    </w:p>
    <w:p w:rsidR="005A1ADB" w:rsidRDefault="000B6ECF">
      <w:pPr>
        <w:adjustRightInd w:val="0"/>
        <w:snapToGrid w:val="0"/>
        <w:spacing w:line="360" w:lineRule="auto"/>
        <w:ind w:firstLineChars="253" w:firstLine="708"/>
        <w:rPr>
          <w:sz w:val="28"/>
          <w:szCs w:val="28"/>
        </w:rPr>
      </w:pPr>
      <w:r>
        <w:rPr>
          <w:rFonts w:hint="eastAsia"/>
          <w:sz w:val="28"/>
          <w:szCs w:val="28"/>
        </w:rPr>
        <w:t>拓展资金渠道，强化资金保障。挖掘中央及地方财政空间，结合不同领域资金扶持条件，建立以财政专项补贴为引导和补充的架构</w:t>
      </w:r>
      <w:r>
        <w:rPr>
          <w:rFonts w:hint="eastAsia"/>
          <w:sz w:val="28"/>
          <w:szCs w:val="28"/>
        </w:rPr>
        <w:lastRenderedPageBreak/>
        <w:t>体系；构建我市绿色信贷政策体系，围绕绿色能源、绿色制造和绿色生活等领域投资绿色项目，设立绿色发展基金，</w:t>
      </w:r>
      <w:r>
        <w:rPr>
          <w:rFonts w:hint="eastAsia"/>
          <w:sz w:val="28"/>
          <w:szCs w:val="28"/>
        </w:rPr>
        <w:t>吸引社会资本投入环保领域，同时通过资产证券化、产业基金、股权投资、可转债投资等形式，为固体废物经营单位提供金融服务；强化资本介入，以社会资本为投融资主体，围绕“无废城市”建设工作的重点领域和主要任务，建立“产生、运输、处理、资源化利用”的多元化运营体系，建立健全财政补贴制度，调动社会资本积极性。</w:t>
      </w:r>
    </w:p>
    <w:p w:rsidR="005A1ADB" w:rsidRDefault="000B6ECF">
      <w:pPr>
        <w:pStyle w:val="3"/>
        <w:rPr>
          <w:sz w:val="28"/>
        </w:rPr>
      </w:pPr>
      <w:bookmarkStart w:id="136" w:name="_Toc31968"/>
      <w:bookmarkStart w:id="137" w:name="_Toc4670"/>
      <w:bookmarkStart w:id="138" w:name="_Toc104561712"/>
      <w:bookmarkStart w:id="139" w:name="_Toc111200001"/>
      <w:bookmarkStart w:id="140" w:name="_Toc115079284"/>
      <w:r>
        <w:rPr>
          <w:rFonts w:hint="eastAsia"/>
          <w:sz w:val="28"/>
        </w:rPr>
        <w:t xml:space="preserve">5.4 </w:t>
      </w:r>
      <w:r>
        <w:rPr>
          <w:rFonts w:hint="eastAsia"/>
          <w:sz w:val="28"/>
        </w:rPr>
        <w:t>强化宣传引导</w:t>
      </w:r>
      <w:bookmarkEnd w:id="136"/>
      <w:bookmarkEnd w:id="137"/>
      <w:bookmarkEnd w:id="138"/>
      <w:bookmarkEnd w:id="139"/>
      <w:bookmarkEnd w:id="140"/>
    </w:p>
    <w:p w:rsidR="005A1ADB" w:rsidRDefault="000B6ECF">
      <w:pPr>
        <w:adjustRightInd w:val="0"/>
        <w:snapToGrid w:val="0"/>
        <w:spacing w:line="360" w:lineRule="auto"/>
        <w:ind w:firstLineChars="253" w:firstLine="708"/>
        <w:rPr>
          <w:sz w:val="28"/>
          <w:szCs w:val="28"/>
        </w:rPr>
      </w:pPr>
      <w:r>
        <w:rPr>
          <w:rFonts w:hint="eastAsia"/>
          <w:sz w:val="28"/>
          <w:szCs w:val="28"/>
        </w:rPr>
        <w:t>加强宣传引导，提升公众参与。依托新媒体技术，采用采访报道、图文解读、新闻评论、户外宣传、主题活动等多种方式，构建全面立体的“无废城市”宣传教育体系，全面营造政府有效引导、企业自觉执行、公众积极</w:t>
      </w:r>
      <w:r>
        <w:rPr>
          <w:rFonts w:hint="eastAsia"/>
          <w:sz w:val="28"/>
          <w:szCs w:val="28"/>
        </w:rPr>
        <w:t>参与的“无废城市”建设氛围。同时强化全民责任意识、法治意识和企业社会责任意识，自觉践行资源节约、环境友好的生产方式和简约适度、绿色低碳的生活方式。</w:t>
      </w:r>
    </w:p>
    <w:p w:rsidR="005A1ADB" w:rsidRDefault="005A1ADB">
      <w:pPr>
        <w:tabs>
          <w:tab w:val="left" w:pos="1719"/>
        </w:tabs>
        <w:spacing w:line="480" w:lineRule="auto"/>
        <w:rPr>
          <w:b/>
          <w:sz w:val="36"/>
        </w:rPr>
      </w:pPr>
    </w:p>
    <w:p w:rsidR="005A1ADB" w:rsidRDefault="005A1ADB"/>
    <w:p w:rsidR="005A1ADB" w:rsidRDefault="005A1ADB"/>
    <w:p w:rsidR="005A1ADB" w:rsidRDefault="005A1ADB"/>
    <w:p w:rsidR="005A1ADB" w:rsidRDefault="005A1ADB"/>
    <w:p w:rsidR="005A1ADB" w:rsidRDefault="005A1ADB"/>
    <w:p w:rsidR="005A1ADB" w:rsidRDefault="005A1ADB"/>
    <w:p w:rsidR="005A1ADB" w:rsidRDefault="005A1ADB"/>
    <w:p w:rsidR="005A1ADB" w:rsidRDefault="000B6ECF">
      <w:pPr>
        <w:tabs>
          <w:tab w:val="left" w:pos="3167"/>
        </w:tabs>
        <w:spacing w:line="480" w:lineRule="auto"/>
        <w:jc w:val="left"/>
        <w:sectPr w:rsidR="005A1ADB">
          <w:pgSz w:w="11906" w:h="16838"/>
          <w:pgMar w:top="1440" w:right="1800" w:bottom="1440" w:left="1800" w:header="851" w:footer="992" w:gutter="0"/>
          <w:cols w:space="425"/>
          <w:docGrid w:type="lines" w:linePitch="312"/>
        </w:sectPr>
      </w:pPr>
      <w:r>
        <w:rPr>
          <w:rFonts w:hint="eastAsia"/>
        </w:rPr>
        <w:tab/>
      </w:r>
    </w:p>
    <w:p w:rsidR="005A1ADB" w:rsidRDefault="000B6ECF">
      <w:pPr>
        <w:jc w:val="left"/>
        <w:outlineLvl w:val="0"/>
        <w:rPr>
          <w:rStyle w:val="af"/>
          <w:rFonts w:ascii="宋体" w:hAnsi="宋体" w:cs="宋体"/>
          <w:sz w:val="28"/>
          <w:szCs w:val="28"/>
        </w:rPr>
      </w:pPr>
      <w:bookmarkStart w:id="141" w:name="_Toc5064"/>
      <w:bookmarkStart w:id="142" w:name="_Toc115079285"/>
      <w:bookmarkStart w:id="143" w:name="_Toc11585"/>
      <w:bookmarkStart w:id="144" w:name="_Toc111200002"/>
      <w:r>
        <w:rPr>
          <w:rStyle w:val="af"/>
          <w:rFonts w:ascii="宋体" w:hAnsi="宋体" w:cs="宋体" w:hint="eastAsia"/>
          <w:sz w:val="28"/>
          <w:szCs w:val="28"/>
        </w:rPr>
        <w:lastRenderedPageBreak/>
        <w:t>附件</w:t>
      </w:r>
      <w:r>
        <w:rPr>
          <w:rStyle w:val="af"/>
          <w:rFonts w:ascii="宋体" w:hAnsi="宋体" w:cs="宋体" w:hint="eastAsia"/>
          <w:sz w:val="28"/>
          <w:szCs w:val="28"/>
        </w:rPr>
        <w:t>1                                    2020</w:t>
      </w:r>
      <w:r>
        <w:rPr>
          <w:rStyle w:val="af"/>
          <w:rFonts w:ascii="宋体" w:hAnsi="宋体" w:cs="宋体" w:hint="eastAsia"/>
          <w:sz w:val="28"/>
          <w:szCs w:val="28"/>
        </w:rPr>
        <w:t>年长春市废物清单</w:t>
      </w:r>
      <w:bookmarkEnd w:id="141"/>
      <w:bookmarkEnd w:id="142"/>
      <w:bookmarkEnd w:id="143"/>
      <w:bookmarkEnd w:id="144"/>
    </w:p>
    <w:tbl>
      <w:tblPr>
        <w:tblW w:w="14175" w:type="dxa"/>
        <w:jc w:val="center"/>
        <w:tblLayout w:type="fixed"/>
        <w:tblLook w:val="04A0"/>
      </w:tblPr>
      <w:tblGrid>
        <w:gridCol w:w="2594"/>
        <w:gridCol w:w="1446"/>
        <w:gridCol w:w="207"/>
        <w:gridCol w:w="276"/>
        <w:gridCol w:w="386"/>
        <w:gridCol w:w="578"/>
        <w:gridCol w:w="414"/>
        <w:gridCol w:w="552"/>
        <w:gridCol w:w="481"/>
        <w:gridCol w:w="291"/>
        <w:gridCol w:w="330"/>
        <w:gridCol w:w="828"/>
        <w:gridCol w:w="826"/>
        <w:gridCol w:w="332"/>
        <w:gridCol w:w="289"/>
        <w:gridCol w:w="483"/>
        <w:gridCol w:w="550"/>
        <w:gridCol w:w="414"/>
        <w:gridCol w:w="580"/>
        <w:gridCol w:w="386"/>
        <w:gridCol w:w="274"/>
        <w:gridCol w:w="207"/>
        <w:gridCol w:w="1451"/>
      </w:tblGrid>
      <w:tr w:rsidR="005A1ADB">
        <w:trPr>
          <w:jc w:val="center"/>
        </w:trPr>
        <w:tc>
          <w:tcPr>
            <w:tcW w:w="14175" w:type="dxa"/>
            <w:gridSpan w:val="2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b/>
                <w:bCs/>
                <w:color w:val="000000"/>
                <w:kern w:val="0"/>
                <w:sz w:val="24"/>
                <w:szCs w:val="24"/>
                <w:lang/>
              </w:rPr>
              <w:t>一般工业固体废物（万吨）</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总量</w:t>
            </w:r>
            <w:r>
              <w:rPr>
                <w:rFonts w:ascii="宋体" w:eastAsia="宋体" w:hAnsi="宋体" w:cs="宋体"/>
                <w:color w:val="000000"/>
                <w:kern w:val="0"/>
                <w:sz w:val="24"/>
                <w:szCs w:val="24"/>
                <w:lang/>
              </w:rPr>
              <w:t>/</w:t>
            </w:r>
            <w:r>
              <w:rPr>
                <w:rFonts w:ascii="宋体" w:eastAsia="宋体" w:hAnsi="宋体" w:cs="宋体"/>
                <w:color w:val="000000"/>
                <w:kern w:val="0"/>
                <w:sz w:val="24"/>
                <w:szCs w:val="24"/>
                <w:lang/>
              </w:rPr>
              <w:t>主要种类</w:t>
            </w:r>
          </w:p>
        </w:tc>
        <w:tc>
          <w:tcPr>
            <w:tcW w:w="1653"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产生量</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综合利用量（含往年贮存量）</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综合利用往年贮存量</w:t>
            </w:r>
          </w:p>
        </w:tc>
        <w:tc>
          <w:tcPr>
            <w:tcW w:w="1654"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综合利用率</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贮存量</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处置量</w:t>
            </w:r>
          </w:p>
        </w:tc>
        <w:tc>
          <w:tcPr>
            <w:tcW w:w="165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处置率</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总量</w:t>
            </w:r>
          </w:p>
        </w:tc>
        <w:tc>
          <w:tcPr>
            <w:tcW w:w="1653"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654.93</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599.64</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64.29</w:t>
            </w:r>
          </w:p>
        </w:tc>
        <w:tc>
          <w:tcPr>
            <w:tcW w:w="1654"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83.37%</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5.09</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115.68</w:t>
            </w:r>
          </w:p>
        </w:tc>
        <w:tc>
          <w:tcPr>
            <w:tcW w:w="165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17.66%</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粉煤灰</w:t>
            </w:r>
          </w:p>
        </w:tc>
        <w:tc>
          <w:tcPr>
            <w:tcW w:w="1653"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332.95</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303.01</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14.96</w:t>
            </w:r>
          </w:p>
        </w:tc>
        <w:tc>
          <w:tcPr>
            <w:tcW w:w="1654"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87.09%</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44.9</w:t>
            </w:r>
          </w:p>
        </w:tc>
        <w:tc>
          <w:tcPr>
            <w:tcW w:w="165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13.49%</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炉渣</w:t>
            </w:r>
          </w:p>
        </w:tc>
        <w:tc>
          <w:tcPr>
            <w:tcW w:w="1653"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177.41</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147.86</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0.16</w:t>
            </w:r>
          </w:p>
        </w:tc>
        <w:tc>
          <w:tcPr>
            <w:tcW w:w="1654"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83.27%</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4.27</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25.61</w:t>
            </w:r>
          </w:p>
        </w:tc>
        <w:tc>
          <w:tcPr>
            <w:tcW w:w="165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14.44%</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其他废物</w:t>
            </w:r>
          </w:p>
        </w:tc>
        <w:tc>
          <w:tcPr>
            <w:tcW w:w="1653"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75.78</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42.66</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0.07</w:t>
            </w:r>
          </w:p>
        </w:tc>
        <w:tc>
          <w:tcPr>
            <w:tcW w:w="1654"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56.24%</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0.18</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33.23</w:t>
            </w:r>
          </w:p>
        </w:tc>
        <w:tc>
          <w:tcPr>
            <w:tcW w:w="165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43.85%</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脱硫石膏</w:t>
            </w:r>
          </w:p>
        </w:tc>
        <w:tc>
          <w:tcPr>
            <w:tcW w:w="1653"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51.45</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46.81</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654"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90.98%</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4.64</w:t>
            </w:r>
          </w:p>
        </w:tc>
        <w:tc>
          <w:tcPr>
            <w:tcW w:w="165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9.02%</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煤矸石</w:t>
            </w:r>
          </w:p>
        </w:tc>
        <w:tc>
          <w:tcPr>
            <w:tcW w:w="1653"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7.52</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56.11</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49.09</w:t>
            </w:r>
          </w:p>
        </w:tc>
        <w:tc>
          <w:tcPr>
            <w:tcW w:w="1654"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99.12%</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0.5</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0.5</w:t>
            </w:r>
          </w:p>
        </w:tc>
        <w:tc>
          <w:tcPr>
            <w:tcW w:w="165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6.65%</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冶炼废渣</w:t>
            </w:r>
          </w:p>
        </w:tc>
        <w:tc>
          <w:tcPr>
            <w:tcW w:w="1653"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6.55</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0.02</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654"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0.31%</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0.1</w:t>
            </w:r>
          </w:p>
        </w:tc>
        <w:tc>
          <w:tcPr>
            <w:tcW w:w="1654"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6.73</w:t>
            </w:r>
          </w:p>
        </w:tc>
        <w:tc>
          <w:tcPr>
            <w:tcW w:w="165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102.75%</w:t>
            </w:r>
          </w:p>
        </w:tc>
      </w:tr>
      <w:tr w:rsidR="005A1ADB">
        <w:trPr>
          <w:jc w:val="center"/>
        </w:trPr>
        <w:tc>
          <w:tcPr>
            <w:tcW w:w="14175" w:type="dxa"/>
            <w:gridSpan w:val="2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b/>
                <w:bCs/>
                <w:color w:val="000000"/>
                <w:kern w:val="0"/>
                <w:sz w:val="24"/>
                <w:szCs w:val="24"/>
                <w:lang/>
              </w:rPr>
              <w:t>农业固体废物（万吨）</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种类</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产生量</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回收量</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回收率</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综合利用量</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综合利用率</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处置量</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农作物秸秆</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1222.6</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836.1</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68.50%</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畜禽粪污</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2000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1900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95.06%</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废弃农用薄膜</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1.51</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1.39</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91.55%</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农药包装废弃物</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0.01</w:t>
            </w:r>
            <w:r>
              <w:rPr>
                <w:rFonts w:ascii="宋体" w:eastAsia="宋体" w:hAnsi="宋体" w:cs="宋体" w:hint="eastAsia"/>
                <w:color w:val="000000"/>
                <w:kern w:val="0"/>
                <w:sz w:val="24"/>
                <w:szCs w:val="24"/>
                <w:lang/>
              </w:rPr>
              <w:t>3</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0.00</w:t>
            </w:r>
            <w:r>
              <w:rPr>
                <w:rFonts w:ascii="宋体" w:eastAsia="宋体" w:hAnsi="宋体" w:cs="宋体" w:hint="eastAsia"/>
                <w:color w:val="000000"/>
                <w:kern w:val="0"/>
                <w:sz w:val="24"/>
                <w:szCs w:val="24"/>
                <w:lang/>
              </w:rPr>
              <w:t>7</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52.54%</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r>
      <w:tr w:rsidR="005A1ADB">
        <w:trPr>
          <w:jc w:val="center"/>
        </w:trPr>
        <w:tc>
          <w:tcPr>
            <w:tcW w:w="14175" w:type="dxa"/>
            <w:gridSpan w:val="2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b/>
                <w:bCs/>
                <w:color w:val="000000"/>
                <w:kern w:val="0"/>
                <w:sz w:val="24"/>
                <w:szCs w:val="24"/>
                <w:lang/>
              </w:rPr>
              <w:t>生活垃圾（万吨）</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总量</w:t>
            </w:r>
            <w:r>
              <w:rPr>
                <w:rFonts w:ascii="宋体" w:eastAsia="宋体" w:hAnsi="宋体" w:cs="宋体"/>
                <w:color w:val="000000"/>
                <w:kern w:val="0"/>
                <w:sz w:val="24"/>
                <w:szCs w:val="24"/>
                <w:lang/>
              </w:rPr>
              <w:t>/</w:t>
            </w:r>
            <w:r>
              <w:rPr>
                <w:rFonts w:ascii="宋体" w:eastAsia="宋体" w:hAnsi="宋体" w:cs="宋体"/>
                <w:color w:val="000000"/>
                <w:kern w:val="0"/>
                <w:sz w:val="24"/>
                <w:szCs w:val="24"/>
                <w:lang/>
              </w:rPr>
              <w:t>具体类别</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清运量</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资源化利用量</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资源化利用率</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无害化处置量</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无害化处置率</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处置能力</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总量</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243.35</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141.34</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58.08%</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102.01</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41.92%</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8000</w:t>
            </w:r>
            <w:r>
              <w:rPr>
                <w:rFonts w:ascii="宋体" w:eastAsia="宋体" w:hAnsi="宋体" w:cs="宋体"/>
                <w:color w:val="000000"/>
                <w:kern w:val="0"/>
                <w:sz w:val="24"/>
                <w:szCs w:val="24"/>
                <w:lang/>
              </w:rPr>
              <w:t>吨</w:t>
            </w:r>
            <w:r>
              <w:rPr>
                <w:rFonts w:ascii="宋体" w:eastAsia="宋体" w:hAnsi="宋体" w:cs="宋体"/>
                <w:color w:val="000000"/>
                <w:kern w:val="0"/>
                <w:sz w:val="24"/>
                <w:szCs w:val="24"/>
                <w:lang/>
              </w:rPr>
              <w:t>/</w:t>
            </w:r>
            <w:r>
              <w:rPr>
                <w:rFonts w:ascii="宋体" w:eastAsia="宋体" w:hAnsi="宋体" w:cs="宋体"/>
                <w:color w:val="000000"/>
                <w:kern w:val="0"/>
                <w:sz w:val="24"/>
                <w:szCs w:val="24"/>
                <w:lang/>
              </w:rPr>
              <w:t>日</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厨余垃圾</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2.89</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2.89</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100.00%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200</w:t>
            </w:r>
            <w:r>
              <w:rPr>
                <w:rFonts w:ascii="宋体" w:eastAsia="宋体" w:hAnsi="宋体" w:cs="宋体"/>
                <w:color w:val="000000"/>
                <w:kern w:val="0"/>
                <w:sz w:val="24"/>
                <w:szCs w:val="24"/>
                <w:lang/>
              </w:rPr>
              <w:t>吨</w:t>
            </w:r>
            <w:r>
              <w:rPr>
                <w:rFonts w:ascii="宋体" w:eastAsia="宋体" w:hAnsi="宋体" w:cs="宋体"/>
                <w:color w:val="000000"/>
                <w:kern w:val="0"/>
                <w:sz w:val="24"/>
                <w:szCs w:val="24"/>
                <w:lang/>
              </w:rPr>
              <w:t>/</w:t>
            </w:r>
            <w:r>
              <w:rPr>
                <w:rFonts w:ascii="宋体" w:eastAsia="宋体" w:hAnsi="宋体" w:cs="宋体"/>
                <w:color w:val="000000"/>
                <w:kern w:val="0"/>
                <w:sz w:val="24"/>
                <w:szCs w:val="24"/>
                <w:lang/>
              </w:rPr>
              <w:t>日</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可回收物</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有害垃圾</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lastRenderedPageBreak/>
              <w:t>其他垃圾</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240.46</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138.45</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57.58%</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102.01</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42.42%</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填埋</w:t>
            </w:r>
            <w:r>
              <w:rPr>
                <w:rFonts w:ascii="宋体" w:eastAsia="宋体" w:hAnsi="宋体" w:cs="宋体"/>
                <w:color w:val="000000"/>
                <w:kern w:val="0"/>
                <w:sz w:val="24"/>
                <w:szCs w:val="24"/>
                <w:lang/>
              </w:rPr>
              <w:t>2850</w:t>
            </w:r>
            <w:r>
              <w:rPr>
                <w:rFonts w:ascii="宋体" w:eastAsia="宋体" w:hAnsi="宋体" w:cs="宋体"/>
                <w:color w:val="000000"/>
                <w:kern w:val="0"/>
                <w:sz w:val="24"/>
                <w:szCs w:val="24"/>
                <w:lang/>
              </w:rPr>
              <w:t>吨</w:t>
            </w:r>
            <w:r>
              <w:rPr>
                <w:rFonts w:ascii="宋体" w:eastAsia="宋体" w:hAnsi="宋体" w:cs="宋体"/>
                <w:color w:val="000000"/>
                <w:kern w:val="0"/>
                <w:sz w:val="24"/>
                <w:szCs w:val="24"/>
                <w:lang/>
              </w:rPr>
              <w:t>/</w:t>
            </w:r>
            <w:r>
              <w:rPr>
                <w:rFonts w:ascii="宋体" w:eastAsia="宋体" w:hAnsi="宋体" w:cs="宋体"/>
                <w:color w:val="000000"/>
                <w:kern w:val="0"/>
                <w:sz w:val="24"/>
                <w:szCs w:val="24"/>
                <w:lang/>
              </w:rPr>
              <w:t>日，焚烧</w:t>
            </w:r>
            <w:r>
              <w:rPr>
                <w:rFonts w:ascii="宋体" w:eastAsia="宋体" w:hAnsi="宋体" w:cs="宋体"/>
                <w:color w:val="000000"/>
                <w:kern w:val="0"/>
                <w:sz w:val="24"/>
                <w:szCs w:val="24"/>
                <w:lang/>
              </w:rPr>
              <w:t>4950</w:t>
            </w:r>
            <w:r>
              <w:rPr>
                <w:rFonts w:ascii="宋体" w:eastAsia="宋体" w:hAnsi="宋体" w:cs="宋体"/>
                <w:color w:val="000000"/>
                <w:kern w:val="0"/>
                <w:sz w:val="24"/>
                <w:szCs w:val="24"/>
                <w:lang/>
              </w:rPr>
              <w:t>吨</w:t>
            </w:r>
            <w:r>
              <w:rPr>
                <w:rFonts w:ascii="宋体" w:eastAsia="宋体" w:hAnsi="宋体" w:cs="宋体"/>
                <w:color w:val="000000"/>
                <w:kern w:val="0"/>
                <w:sz w:val="24"/>
                <w:szCs w:val="24"/>
                <w:lang/>
              </w:rPr>
              <w:t>/</w:t>
            </w:r>
            <w:r>
              <w:rPr>
                <w:rFonts w:ascii="宋体" w:eastAsia="宋体" w:hAnsi="宋体" w:cs="宋体"/>
                <w:color w:val="000000"/>
                <w:kern w:val="0"/>
                <w:sz w:val="24"/>
                <w:szCs w:val="24"/>
                <w:lang/>
              </w:rPr>
              <w:t>日</w:t>
            </w:r>
          </w:p>
        </w:tc>
      </w:tr>
      <w:tr w:rsidR="005A1ADB">
        <w:trPr>
          <w:jc w:val="center"/>
        </w:trPr>
        <w:tc>
          <w:tcPr>
            <w:tcW w:w="14175" w:type="dxa"/>
            <w:gridSpan w:val="2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b/>
                <w:bCs/>
                <w:color w:val="000000"/>
                <w:kern w:val="0"/>
                <w:sz w:val="24"/>
                <w:szCs w:val="24"/>
                <w:lang/>
              </w:rPr>
              <w:t>再生资源（万吨）</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类型</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市区</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公主岭市</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德惠市</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农安县</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榆树市</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合计</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总量</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755.16</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8.1</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2.97</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1.34</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767.57</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废钢铁</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397</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6.94</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0.3</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1.3</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405.54</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废纸</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160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0.56</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0.89</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161.45</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废塑料</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125.5</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0.35</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0.15</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126</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废玻璃</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42</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42</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废弃电器电子产品</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10.5</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0.51</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11.01</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废橡胶（轮胎）</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9.9</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0.04</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9.94</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废金属</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6.7</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0.25</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0.75</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7.7</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废旧纺织物</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3.5</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0.37</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3.87</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可回收一次性输液瓶（袋）</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0.06</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0.06</w:t>
            </w:r>
          </w:p>
        </w:tc>
      </w:tr>
      <w:tr w:rsidR="005A1ADB">
        <w:trPr>
          <w:jc w:val="center"/>
        </w:trPr>
        <w:tc>
          <w:tcPr>
            <w:tcW w:w="14175" w:type="dxa"/>
            <w:gridSpan w:val="2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b/>
                <w:bCs/>
                <w:color w:val="000000"/>
                <w:kern w:val="0"/>
                <w:sz w:val="24"/>
                <w:szCs w:val="24"/>
                <w:lang/>
              </w:rPr>
              <w:t>城镇污水污泥（万吨）</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b/>
                <w:bCs/>
                <w:color w:val="000000"/>
                <w:kern w:val="0"/>
                <w:sz w:val="24"/>
                <w:szCs w:val="24"/>
                <w:lang/>
              </w:rPr>
            </w:pPr>
            <w:r>
              <w:rPr>
                <w:rFonts w:ascii="宋体" w:eastAsia="宋体" w:hAnsi="宋体" w:cs="宋体" w:hint="eastAsia"/>
                <w:color w:val="000000"/>
                <w:kern w:val="0"/>
                <w:sz w:val="24"/>
                <w:szCs w:val="24"/>
                <w:lang/>
              </w:rPr>
              <w:t>城镇污水污泥</w:t>
            </w:r>
          </w:p>
        </w:tc>
        <w:tc>
          <w:tcPr>
            <w:tcW w:w="2315"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pPr>
            <w:r>
              <w:rPr>
                <w:rFonts w:ascii="宋体" w:eastAsia="宋体" w:hAnsi="宋体" w:cs="宋体" w:hint="eastAsia"/>
                <w:color w:val="000000"/>
                <w:kern w:val="0"/>
                <w:sz w:val="24"/>
                <w:szCs w:val="24"/>
                <w:lang/>
              </w:rPr>
              <w:t>产生量</w:t>
            </w:r>
          </w:p>
        </w:tc>
        <w:tc>
          <w:tcPr>
            <w:tcW w:w="2316" w:type="dxa"/>
            <w:gridSpan w:val="5"/>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pPr>
            <w:r>
              <w:rPr>
                <w:rFonts w:ascii="宋体" w:eastAsia="宋体" w:hAnsi="宋体" w:cs="宋体" w:hint="eastAsia"/>
                <w:color w:val="000000"/>
                <w:kern w:val="0"/>
                <w:sz w:val="24"/>
                <w:szCs w:val="24"/>
                <w:lang/>
              </w:rPr>
              <w:t>土地利用量</w:t>
            </w:r>
          </w:p>
        </w:tc>
        <w:tc>
          <w:tcPr>
            <w:tcW w:w="2316"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pPr>
            <w:r>
              <w:rPr>
                <w:rFonts w:ascii="宋体" w:eastAsia="宋体" w:hAnsi="宋体" w:cs="宋体" w:hint="eastAsia"/>
                <w:color w:val="000000"/>
                <w:kern w:val="0"/>
                <w:sz w:val="24"/>
                <w:szCs w:val="24"/>
                <w:lang/>
              </w:rPr>
              <w:t>焚烧量</w:t>
            </w:r>
          </w:p>
        </w:tc>
        <w:tc>
          <w:tcPr>
            <w:tcW w:w="2316" w:type="dxa"/>
            <w:gridSpan w:val="5"/>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pPr>
            <w:r>
              <w:rPr>
                <w:rFonts w:ascii="宋体" w:eastAsia="宋体" w:hAnsi="宋体" w:cs="宋体" w:hint="eastAsia"/>
                <w:color w:val="000000"/>
                <w:kern w:val="0"/>
                <w:sz w:val="24"/>
                <w:szCs w:val="24"/>
                <w:lang/>
              </w:rPr>
              <w:t>填埋量</w:t>
            </w:r>
          </w:p>
        </w:tc>
        <w:tc>
          <w:tcPr>
            <w:tcW w:w="2318"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pPr>
            <w:r>
              <w:rPr>
                <w:rFonts w:ascii="宋体" w:eastAsia="宋体" w:hAnsi="宋体" w:cs="宋体" w:hint="eastAsia"/>
                <w:color w:val="000000"/>
                <w:kern w:val="0"/>
                <w:sz w:val="24"/>
                <w:szCs w:val="24"/>
                <w:lang/>
              </w:rPr>
              <w:t>做菌种量</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b/>
                <w:bCs/>
                <w:color w:val="000000"/>
                <w:kern w:val="0"/>
                <w:sz w:val="24"/>
                <w:szCs w:val="24"/>
                <w:lang/>
              </w:rPr>
            </w:pPr>
            <w:r>
              <w:rPr>
                <w:rFonts w:ascii="宋体" w:eastAsia="宋体" w:hAnsi="宋体" w:cs="宋体" w:hint="eastAsia"/>
                <w:color w:val="000000"/>
                <w:kern w:val="0"/>
                <w:sz w:val="24"/>
                <w:szCs w:val="24"/>
                <w:lang/>
              </w:rPr>
              <w:t>总量</w:t>
            </w:r>
          </w:p>
        </w:tc>
        <w:tc>
          <w:tcPr>
            <w:tcW w:w="2315"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pPr>
            <w:r>
              <w:rPr>
                <w:rFonts w:ascii="宋体" w:eastAsia="宋体" w:hAnsi="宋体" w:cs="宋体"/>
                <w:color w:val="000000"/>
                <w:kern w:val="0"/>
                <w:sz w:val="24"/>
                <w:szCs w:val="24"/>
                <w:lang/>
              </w:rPr>
              <w:t>50.32</w:t>
            </w:r>
          </w:p>
        </w:tc>
        <w:tc>
          <w:tcPr>
            <w:tcW w:w="2316" w:type="dxa"/>
            <w:gridSpan w:val="5"/>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pPr>
            <w:r>
              <w:rPr>
                <w:rFonts w:ascii="宋体" w:eastAsia="宋体" w:hAnsi="宋体" w:cs="宋体"/>
                <w:color w:val="000000"/>
                <w:kern w:val="0"/>
                <w:sz w:val="24"/>
                <w:szCs w:val="24"/>
                <w:lang/>
              </w:rPr>
              <w:t>44</w:t>
            </w:r>
          </w:p>
        </w:tc>
        <w:tc>
          <w:tcPr>
            <w:tcW w:w="2316"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pPr>
            <w:r>
              <w:rPr>
                <w:rFonts w:ascii="宋体" w:eastAsia="宋体" w:hAnsi="宋体" w:cs="宋体"/>
                <w:color w:val="000000"/>
                <w:kern w:val="0"/>
                <w:sz w:val="24"/>
                <w:szCs w:val="24"/>
                <w:lang/>
              </w:rPr>
              <w:t>3.48</w:t>
            </w:r>
          </w:p>
        </w:tc>
        <w:tc>
          <w:tcPr>
            <w:tcW w:w="2316" w:type="dxa"/>
            <w:gridSpan w:val="5"/>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pPr>
            <w:r>
              <w:rPr>
                <w:rFonts w:ascii="宋体" w:eastAsia="宋体" w:hAnsi="宋体" w:cs="宋体"/>
                <w:color w:val="000000"/>
                <w:kern w:val="0"/>
                <w:sz w:val="24"/>
                <w:szCs w:val="24"/>
                <w:lang/>
              </w:rPr>
              <w:t>2.79</w:t>
            </w:r>
          </w:p>
        </w:tc>
        <w:tc>
          <w:tcPr>
            <w:tcW w:w="2318"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pPr>
            <w:r>
              <w:rPr>
                <w:rFonts w:ascii="宋体" w:eastAsia="宋体" w:hAnsi="宋体" w:cs="宋体"/>
                <w:color w:val="000000"/>
                <w:kern w:val="0"/>
                <w:sz w:val="24"/>
                <w:szCs w:val="24"/>
                <w:lang/>
              </w:rPr>
              <w:t>0.05</w:t>
            </w:r>
          </w:p>
        </w:tc>
      </w:tr>
      <w:tr w:rsidR="005A1ADB">
        <w:trPr>
          <w:jc w:val="center"/>
        </w:trPr>
        <w:tc>
          <w:tcPr>
            <w:tcW w:w="14175" w:type="dxa"/>
            <w:gridSpan w:val="2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t>建筑垃圾（万吨）</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总量</w:t>
            </w:r>
            <w:r>
              <w:rPr>
                <w:rFonts w:ascii="宋体" w:eastAsia="宋体" w:hAnsi="宋体" w:cs="宋体"/>
                <w:color w:val="000000"/>
                <w:kern w:val="0"/>
                <w:sz w:val="24"/>
                <w:szCs w:val="24"/>
                <w:lang/>
              </w:rPr>
              <w:t>/</w:t>
            </w:r>
            <w:r>
              <w:rPr>
                <w:rFonts w:ascii="宋体" w:eastAsia="宋体" w:hAnsi="宋体" w:cs="宋体"/>
                <w:color w:val="000000"/>
                <w:kern w:val="0"/>
                <w:sz w:val="24"/>
                <w:szCs w:val="24"/>
                <w:lang/>
              </w:rPr>
              <w:t>具体类别</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收运量</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资源化利用量</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资源化利用率</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堆填处置量</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填埋处置量</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贮存量</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总量</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76.42</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30.82</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40.33%</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19.16</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23.69</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11.75</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工程渣土（弃土）</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工程泥浆</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工程垃圾</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lastRenderedPageBreak/>
              <w:t>拆除垃圾</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装修垃圾</w:t>
            </w:r>
          </w:p>
        </w:tc>
        <w:tc>
          <w:tcPr>
            <w:tcW w:w="192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76.42</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30.82</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40.33%</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19.16</w:t>
            </w:r>
          </w:p>
        </w:tc>
        <w:tc>
          <w:tcPr>
            <w:tcW w:w="193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23.69</w:t>
            </w:r>
          </w:p>
        </w:tc>
        <w:tc>
          <w:tcPr>
            <w:tcW w:w="1932"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11.75</w:t>
            </w:r>
          </w:p>
        </w:tc>
      </w:tr>
      <w:tr w:rsidR="005A1ADB">
        <w:trPr>
          <w:jc w:val="center"/>
        </w:trPr>
        <w:tc>
          <w:tcPr>
            <w:tcW w:w="14175" w:type="dxa"/>
            <w:gridSpan w:val="2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b/>
                <w:bCs/>
                <w:color w:val="000000"/>
                <w:kern w:val="0"/>
                <w:sz w:val="24"/>
                <w:szCs w:val="24"/>
                <w:lang/>
              </w:rPr>
              <w:t>危险废物（万吨）</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总量</w:t>
            </w:r>
            <w:r>
              <w:rPr>
                <w:rFonts w:ascii="宋体" w:eastAsia="宋体" w:hAnsi="宋体" w:cs="宋体"/>
                <w:color w:val="000000"/>
                <w:kern w:val="0"/>
                <w:sz w:val="24"/>
                <w:szCs w:val="24"/>
                <w:lang/>
              </w:rPr>
              <w:t>/</w:t>
            </w:r>
            <w:r>
              <w:rPr>
                <w:rFonts w:ascii="宋体" w:eastAsia="宋体" w:hAnsi="宋体" w:cs="宋体"/>
                <w:color w:val="000000"/>
                <w:kern w:val="0"/>
                <w:sz w:val="24"/>
                <w:szCs w:val="24"/>
                <w:lang/>
              </w:rPr>
              <w:t>产生量占比</w:t>
            </w:r>
            <w:r>
              <w:rPr>
                <w:rFonts w:ascii="宋体" w:eastAsia="宋体" w:hAnsi="宋体" w:cs="宋体"/>
                <w:color w:val="000000"/>
                <w:kern w:val="0"/>
                <w:sz w:val="24"/>
                <w:szCs w:val="24"/>
                <w:lang/>
              </w:rPr>
              <w:t>80%</w:t>
            </w:r>
            <w:r>
              <w:rPr>
                <w:rFonts w:ascii="宋体" w:eastAsia="宋体" w:hAnsi="宋体" w:cs="宋体"/>
                <w:color w:val="000000"/>
                <w:kern w:val="0"/>
                <w:sz w:val="24"/>
                <w:szCs w:val="24"/>
                <w:lang/>
              </w:rPr>
              <w:t>的主要种类</w:t>
            </w:r>
          </w:p>
        </w:tc>
        <w:tc>
          <w:tcPr>
            <w:tcW w:w="14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产生量</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综合利用量</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综合利用率</w:t>
            </w:r>
          </w:p>
        </w:tc>
        <w:tc>
          <w:tcPr>
            <w:tcW w:w="144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处置能力</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处置量</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处置率</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转移量</w:t>
            </w:r>
          </w:p>
        </w:tc>
        <w:tc>
          <w:tcPr>
            <w:tcW w:w="14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贮存量</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总量</w:t>
            </w:r>
          </w:p>
        </w:tc>
        <w:tc>
          <w:tcPr>
            <w:tcW w:w="14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18.76</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9.14</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48.72%</w:t>
            </w:r>
          </w:p>
        </w:tc>
        <w:tc>
          <w:tcPr>
            <w:tcW w:w="144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102.13</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9.18</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48.93%</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19.85</w:t>
            </w:r>
          </w:p>
        </w:tc>
        <w:tc>
          <w:tcPr>
            <w:tcW w:w="14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1.25</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医疗废物</w:t>
            </w:r>
          </w:p>
        </w:tc>
        <w:tc>
          <w:tcPr>
            <w:tcW w:w="14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0.91</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w:t>
            </w:r>
          </w:p>
        </w:tc>
        <w:tc>
          <w:tcPr>
            <w:tcW w:w="144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2.54</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0.91</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100%</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0.91</w:t>
            </w:r>
          </w:p>
        </w:tc>
        <w:tc>
          <w:tcPr>
            <w:tcW w:w="14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0</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工业危险废物</w:t>
            </w:r>
          </w:p>
        </w:tc>
        <w:tc>
          <w:tcPr>
            <w:tcW w:w="14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17.85</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9.14</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51.20%</w:t>
            </w:r>
          </w:p>
        </w:tc>
        <w:tc>
          <w:tcPr>
            <w:tcW w:w="144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99.59</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8.27</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46.33%</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18.94</w:t>
            </w:r>
          </w:p>
        </w:tc>
        <w:tc>
          <w:tcPr>
            <w:tcW w:w="14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1.25</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HW49</w:t>
            </w:r>
            <w:r>
              <w:rPr>
                <w:rFonts w:ascii="宋体" w:eastAsia="宋体" w:hAnsi="宋体" w:cs="宋体" w:hint="eastAsia"/>
                <w:color w:val="000000"/>
                <w:kern w:val="0"/>
                <w:sz w:val="24"/>
                <w:szCs w:val="24"/>
                <w:lang/>
              </w:rPr>
              <w:t>（其他废物）</w:t>
            </w:r>
          </w:p>
        </w:tc>
        <w:tc>
          <w:tcPr>
            <w:tcW w:w="14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6.25 </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4.51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72.12%</w:t>
            </w:r>
          </w:p>
        </w:tc>
        <w:tc>
          <w:tcPr>
            <w:tcW w:w="144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30.82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2.05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32.80%</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6.62 </w:t>
            </w:r>
          </w:p>
        </w:tc>
        <w:tc>
          <w:tcPr>
            <w:tcW w:w="14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0.94 </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HW12</w:t>
            </w:r>
            <w:r>
              <w:rPr>
                <w:rFonts w:ascii="宋体" w:eastAsia="宋体" w:hAnsi="宋体" w:cs="宋体" w:hint="eastAsia"/>
                <w:color w:val="000000"/>
                <w:kern w:val="0"/>
                <w:sz w:val="24"/>
                <w:szCs w:val="24"/>
                <w:lang/>
              </w:rPr>
              <w:t>（染料、涂料废物）</w:t>
            </w:r>
          </w:p>
        </w:tc>
        <w:tc>
          <w:tcPr>
            <w:tcW w:w="14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4.09 </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2.69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65.91%</w:t>
            </w:r>
          </w:p>
        </w:tc>
        <w:tc>
          <w:tcPr>
            <w:tcW w:w="144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8.41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1.39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34.08%</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4.10 </w:t>
            </w:r>
          </w:p>
        </w:tc>
        <w:tc>
          <w:tcPr>
            <w:tcW w:w="14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0.05 </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HW09</w:t>
            </w:r>
            <w:r>
              <w:rPr>
                <w:rFonts w:ascii="宋体" w:eastAsia="宋体" w:hAnsi="宋体" w:cs="宋体" w:hint="eastAsia"/>
                <w:color w:val="000000"/>
                <w:kern w:val="0"/>
                <w:sz w:val="24"/>
                <w:szCs w:val="24"/>
                <w:lang/>
              </w:rPr>
              <w:t>（油</w:t>
            </w:r>
            <w:r>
              <w:rPr>
                <w:rFonts w:ascii="宋体" w:eastAsia="宋体" w:hAnsi="宋体" w:cs="宋体"/>
                <w:color w:val="000000"/>
                <w:kern w:val="0"/>
                <w:sz w:val="24"/>
                <w:szCs w:val="24"/>
                <w:lang/>
              </w:rPr>
              <w:t>/</w:t>
            </w:r>
            <w:r>
              <w:rPr>
                <w:rFonts w:ascii="宋体" w:eastAsia="宋体" w:hAnsi="宋体" w:cs="宋体" w:hint="eastAsia"/>
                <w:color w:val="000000"/>
                <w:kern w:val="0"/>
                <w:sz w:val="24"/>
                <w:szCs w:val="24"/>
                <w:lang/>
              </w:rPr>
              <w:t>水、烃</w:t>
            </w:r>
            <w:r>
              <w:rPr>
                <w:rFonts w:ascii="宋体" w:eastAsia="宋体" w:hAnsi="宋体" w:cs="宋体"/>
                <w:color w:val="000000"/>
                <w:kern w:val="0"/>
                <w:sz w:val="24"/>
                <w:szCs w:val="24"/>
                <w:lang/>
              </w:rPr>
              <w:t>/</w:t>
            </w:r>
            <w:r>
              <w:rPr>
                <w:rFonts w:ascii="宋体" w:eastAsia="宋体" w:hAnsi="宋体" w:cs="宋体" w:hint="eastAsia"/>
                <w:color w:val="000000"/>
                <w:kern w:val="0"/>
                <w:sz w:val="24"/>
                <w:szCs w:val="24"/>
                <w:lang/>
              </w:rPr>
              <w:t>水混合物或乳化液）</w:t>
            </w:r>
          </w:p>
        </w:tc>
        <w:tc>
          <w:tcPr>
            <w:tcW w:w="14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2.33 </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0.06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2.66%</w:t>
            </w:r>
          </w:p>
        </w:tc>
        <w:tc>
          <w:tcPr>
            <w:tcW w:w="144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5.60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2.26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97.08%</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2.33 </w:t>
            </w:r>
          </w:p>
        </w:tc>
        <w:tc>
          <w:tcPr>
            <w:tcW w:w="14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0.02 </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HW17</w:t>
            </w:r>
            <w:r>
              <w:rPr>
                <w:rFonts w:ascii="宋体" w:eastAsia="宋体" w:hAnsi="宋体" w:cs="宋体" w:hint="eastAsia"/>
                <w:color w:val="000000"/>
                <w:kern w:val="0"/>
                <w:sz w:val="24"/>
                <w:szCs w:val="24"/>
                <w:lang/>
              </w:rPr>
              <w:t>（表面处理废物）</w:t>
            </w:r>
          </w:p>
        </w:tc>
        <w:tc>
          <w:tcPr>
            <w:tcW w:w="14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1.65 </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0.76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45.85%</w:t>
            </w:r>
          </w:p>
        </w:tc>
        <w:tc>
          <w:tcPr>
            <w:tcW w:w="144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1.41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0.85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51.53%</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1.65 </w:t>
            </w:r>
          </w:p>
        </w:tc>
        <w:tc>
          <w:tcPr>
            <w:tcW w:w="14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0.07 </w:t>
            </w:r>
          </w:p>
        </w:tc>
      </w:tr>
      <w:tr w:rsidR="005A1ADB">
        <w:trPr>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HW06</w:t>
            </w:r>
            <w:r>
              <w:rPr>
                <w:rFonts w:ascii="宋体" w:eastAsia="宋体" w:hAnsi="宋体" w:cs="宋体" w:hint="eastAsia"/>
                <w:color w:val="000000"/>
                <w:kern w:val="0"/>
                <w:sz w:val="24"/>
                <w:szCs w:val="24"/>
                <w:lang/>
              </w:rPr>
              <w:t>（废有机溶剂与含有机溶剂废物）</w:t>
            </w:r>
          </w:p>
        </w:tc>
        <w:tc>
          <w:tcPr>
            <w:tcW w:w="14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1.42 </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0.87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61.47%</w:t>
            </w:r>
          </w:p>
        </w:tc>
        <w:tc>
          <w:tcPr>
            <w:tcW w:w="1449"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2.28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0.04 </w:t>
            </w:r>
          </w:p>
        </w:tc>
        <w:tc>
          <w:tcPr>
            <w:tcW w:w="1447" w:type="dxa"/>
            <w:gridSpan w:val="3"/>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2.51%</w:t>
            </w:r>
          </w:p>
        </w:tc>
        <w:tc>
          <w:tcPr>
            <w:tcW w:w="1447"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1.46 </w:t>
            </w:r>
          </w:p>
        </w:tc>
        <w:tc>
          <w:tcPr>
            <w:tcW w:w="145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 xml:space="preserve">0.01 </w:t>
            </w:r>
          </w:p>
        </w:tc>
      </w:tr>
    </w:tbl>
    <w:p w:rsidR="005A1ADB" w:rsidRDefault="005A1ADB">
      <w:pPr>
        <w:jc w:val="left"/>
        <w:rPr>
          <w:rStyle w:val="af"/>
          <w:rFonts w:ascii="宋体" w:hAnsi="宋体" w:cs="宋体"/>
          <w:sz w:val="28"/>
          <w:szCs w:val="28"/>
        </w:rPr>
      </w:pPr>
    </w:p>
    <w:p w:rsidR="005A1ADB" w:rsidRDefault="005A1ADB">
      <w:pPr>
        <w:jc w:val="left"/>
        <w:outlineLvl w:val="0"/>
        <w:rPr>
          <w:rStyle w:val="af"/>
          <w:rFonts w:ascii="宋体" w:hAnsi="宋体" w:cs="宋体"/>
          <w:sz w:val="28"/>
          <w:szCs w:val="28"/>
        </w:rPr>
        <w:sectPr w:rsidR="005A1ADB">
          <w:pgSz w:w="16838" w:h="11906" w:orient="landscape"/>
          <w:pgMar w:top="1800" w:right="1440" w:bottom="1800" w:left="1440" w:header="851" w:footer="992" w:gutter="0"/>
          <w:cols w:space="425"/>
          <w:docGrid w:type="lines" w:linePitch="312"/>
        </w:sectPr>
      </w:pPr>
      <w:bookmarkStart w:id="145" w:name="_Toc24254"/>
      <w:bookmarkStart w:id="146" w:name="_Toc17908"/>
    </w:p>
    <w:p w:rsidR="005A1ADB" w:rsidRDefault="000B6ECF">
      <w:pPr>
        <w:jc w:val="left"/>
        <w:outlineLvl w:val="0"/>
        <w:rPr>
          <w:rStyle w:val="af"/>
          <w:rFonts w:ascii="宋体" w:hAnsi="宋体" w:cs="宋体"/>
          <w:sz w:val="28"/>
          <w:szCs w:val="28"/>
        </w:rPr>
      </w:pPr>
      <w:bookmarkStart w:id="147" w:name="_Toc115079286"/>
      <w:bookmarkStart w:id="148" w:name="_Toc111200004"/>
      <w:bookmarkStart w:id="149" w:name="_Toc15958"/>
      <w:bookmarkStart w:id="150" w:name="_Toc20480"/>
      <w:bookmarkEnd w:id="145"/>
      <w:bookmarkEnd w:id="146"/>
      <w:r>
        <w:rPr>
          <w:rStyle w:val="af"/>
          <w:rFonts w:ascii="宋体" w:hAnsi="宋体" w:cs="宋体" w:hint="eastAsia"/>
          <w:sz w:val="28"/>
          <w:szCs w:val="28"/>
        </w:rPr>
        <w:lastRenderedPageBreak/>
        <w:t>附件</w:t>
      </w:r>
      <w:r>
        <w:rPr>
          <w:rStyle w:val="af"/>
          <w:rFonts w:ascii="宋体" w:hAnsi="宋体" w:cs="宋体" w:hint="eastAsia"/>
          <w:sz w:val="28"/>
          <w:szCs w:val="28"/>
        </w:rPr>
        <w:t xml:space="preserve">2                                 </w:t>
      </w:r>
      <w:r>
        <w:rPr>
          <w:rStyle w:val="af"/>
          <w:rFonts w:ascii="宋体" w:hAnsi="宋体" w:cs="宋体" w:hint="eastAsia"/>
          <w:sz w:val="28"/>
          <w:szCs w:val="28"/>
        </w:rPr>
        <w:t>“无废城市”建设责任清单</w:t>
      </w:r>
      <w:bookmarkEnd w:id="14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17"/>
        <w:gridCol w:w="1559"/>
        <w:gridCol w:w="1560"/>
        <w:gridCol w:w="8537"/>
      </w:tblGrid>
      <w:tr w:rsidR="005A1ADB">
        <w:trPr>
          <w:trHeight w:val="737"/>
          <w:tblHeader/>
        </w:trPr>
        <w:tc>
          <w:tcPr>
            <w:tcW w:w="1101" w:type="dxa"/>
            <w:shd w:val="clear" w:color="auto" w:fill="auto"/>
            <w:noWrap/>
            <w:vAlign w:val="center"/>
          </w:tcPr>
          <w:p w:rsidR="005A1ADB" w:rsidRDefault="000B6ECF">
            <w:pPr>
              <w:jc w:val="center"/>
              <w:rPr>
                <w:rFonts w:asciiTheme="minorEastAsia" w:hAnsiTheme="minorEastAsia" w:cs="宋体"/>
                <w:b/>
                <w:bCs/>
                <w:kern w:val="0"/>
                <w:sz w:val="22"/>
              </w:rPr>
            </w:pPr>
            <w:r>
              <w:rPr>
                <w:rFonts w:asciiTheme="minorEastAsia" w:hAnsiTheme="minorEastAsia" w:cs="宋体" w:hint="eastAsia"/>
                <w:b/>
                <w:bCs/>
                <w:kern w:val="0"/>
                <w:sz w:val="22"/>
              </w:rPr>
              <w:t>大类</w:t>
            </w:r>
          </w:p>
        </w:tc>
        <w:tc>
          <w:tcPr>
            <w:tcW w:w="1417" w:type="dxa"/>
            <w:shd w:val="clear" w:color="auto" w:fill="auto"/>
            <w:noWrap/>
            <w:vAlign w:val="center"/>
          </w:tcPr>
          <w:p w:rsidR="005A1ADB" w:rsidRDefault="000B6ECF">
            <w:pPr>
              <w:jc w:val="center"/>
              <w:rPr>
                <w:rFonts w:asciiTheme="minorEastAsia" w:hAnsiTheme="minorEastAsia" w:cs="宋体"/>
                <w:b/>
                <w:bCs/>
                <w:kern w:val="0"/>
                <w:sz w:val="22"/>
              </w:rPr>
            </w:pPr>
            <w:r>
              <w:rPr>
                <w:rFonts w:asciiTheme="minorEastAsia" w:hAnsiTheme="minorEastAsia" w:cs="宋体" w:hint="eastAsia"/>
                <w:b/>
                <w:bCs/>
                <w:kern w:val="0"/>
                <w:sz w:val="22"/>
              </w:rPr>
              <w:t>小类</w:t>
            </w:r>
          </w:p>
        </w:tc>
        <w:tc>
          <w:tcPr>
            <w:tcW w:w="1559" w:type="dxa"/>
            <w:shd w:val="clear" w:color="auto" w:fill="auto"/>
            <w:noWrap/>
            <w:vAlign w:val="center"/>
          </w:tcPr>
          <w:p w:rsidR="005A1ADB" w:rsidRDefault="000B6ECF">
            <w:pPr>
              <w:jc w:val="center"/>
              <w:rPr>
                <w:rFonts w:asciiTheme="minorEastAsia" w:hAnsiTheme="minorEastAsia" w:cs="宋体"/>
                <w:b/>
                <w:bCs/>
                <w:kern w:val="0"/>
                <w:sz w:val="22"/>
              </w:rPr>
            </w:pPr>
            <w:r>
              <w:rPr>
                <w:rFonts w:asciiTheme="minorEastAsia" w:hAnsiTheme="minorEastAsia" w:cs="宋体" w:hint="eastAsia"/>
                <w:b/>
                <w:bCs/>
                <w:kern w:val="0"/>
                <w:sz w:val="22"/>
              </w:rPr>
              <w:t>环节</w:t>
            </w:r>
          </w:p>
        </w:tc>
        <w:tc>
          <w:tcPr>
            <w:tcW w:w="1560" w:type="dxa"/>
            <w:shd w:val="clear" w:color="auto" w:fill="auto"/>
            <w:noWrap/>
            <w:vAlign w:val="center"/>
          </w:tcPr>
          <w:p w:rsidR="005A1ADB" w:rsidRDefault="000B6ECF">
            <w:pPr>
              <w:jc w:val="center"/>
              <w:rPr>
                <w:rFonts w:asciiTheme="minorEastAsia" w:hAnsiTheme="minorEastAsia" w:cs="宋体"/>
                <w:b/>
                <w:bCs/>
                <w:kern w:val="0"/>
                <w:sz w:val="22"/>
              </w:rPr>
            </w:pPr>
            <w:r>
              <w:rPr>
                <w:rFonts w:asciiTheme="minorEastAsia" w:hAnsiTheme="minorEastAsia" w:cs="宋体" w:hint="eastAsia"/>
                <w:b/>
                <w:bCs/>
                <w:kern w:val="0"/>
                <w:sz w:val="22"/>
              </w:rPr>
              <w:t>责任部门</w:t>
            </w:r>
          </w:p>
        </w:tc>
        <w:tc>
          <w:tcPr>
            <w:tcW w:w="8537" w:type="dxa"/>
            <w:shd w:val="clear" w:color="auto" w:fill="auto"/>
            <w:noWrap/>
            <w:vAlign w:val="center"/>
          </w:tcPr>
          <w:p w:rsidR="005A1ADB" w:rsidRDefault="000B6ECF">
            <w:pPr>
              <w:jc w:val="center"/>
              <w:rPr>
                <w:rFonts w:asciiTheme="minorEastAsia" w:hAnsiTheme="minorEastAsia" w:cs="宋体"/>
                <w:b/>
                <w:bCs/>
                <w:kern w:val="0"/>
                <w:sz w:val="22"/>
              </w:rPr>
            </w:pPr>
            <w:r>
              <w:rPr>
                <w:rFonts w:asciiTheme="minorEastAsia" w:hAnsiTheme="minorEastAsia" w:cs="宋体" w:hint="eastAsia"/>
                <w:b/>
                <w:bCs/>
                <w:kern w:val="0"/>
                <w:sz w:val="22"/>
              </w:rPr>
              <w:t>主要责任事项</w:t>
            </w:r>
          </w:p>
        </w:tc>
      </w:tr>
      <w:tr w:rsidR="005A1ADB">
        <w:trPr>
          <w:trHeight w:val="20"/>
        </w:trPr>
        <w:tc>
          <w:tcPr>
            <w:tcW w:w="1101"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工业固体废物</w:t>
            </w:r>
          </w:p>
        </w:tc>
        <w:tc>
          <w:tcPr>
            <w:tcW w:w="1417"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bCs/>
                <w:kern w:val="0"/>
                <w:sz w:val="22"/>
              </w:rPr>
              <w:t>/</w:t>
            </w: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源头管控</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市工信局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负责推进绿色制造、清洁生产，执行公布的限期淘汰产生严重污染环境的工业固体废物的落后生产工艺、设备的名录；</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市规自局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负责废弃渣土处置等矿山地质环境保护与土地复垦方案审批；</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收集转移</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市交通局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负责固体废物交通运输经营单位的监督管理工作；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配合固体废物收集运输车辆的监督管理工作；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资源化利用</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市工信局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负责推动工业固体废物综合利用；</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最终处置</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市生态环境局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负责工业固体废物贮存、处置的设施、场所监督管理，应当符合国家环境保护标准；</w:t>
            </w:r>
          </w:p>
        </w:tc>
      </w:tr>
      <w:tr w:rsidR="005A1ADB">
        <w:trPr>
          <w:trHeight w:val="20"/>
        </w:trPr>
        <w:tc>
          <w:tcPr>
            <w:tcW w:w="1101"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农业固体废物</w:t>
            </w:r>
          </w:p>
        </w:tc>
        <w:tc>
          <w:tcPr>
            <w:tcW w:w="1417"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农作物秸秆</w:t>
            </w: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收集转移</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市农业农村局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负责农业废弃物收储运体系建设，鼓励和引导有关单位和其他生产经营者依法收集、贮存、运输、利用、处置农业固体废物；</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市交通局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负责固体废物交通运输经营单位的监督管理工作；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配合固体废物收集运输车辆的监督管理工作；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资源化利用</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市发改委</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负责秸秆能源化利用相关工作；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市工信局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负责秸秆原料化利用相关工作；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市畜牧局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负责秸秆饲料化利用相关工作；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市农业农村局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bCs/>
                <w:kern w:val="0"/>
                <w:sz w:val="22"/>
              </w:rPr>
              <w:t>1.</w:t>
            </w:r>
            <w:r>
              <w:rPr>
                <w:rFonts w:asciiTheme="minorEastAsia" w:hAnsiTheme="minorEastAsia" w:cs="宋体"/>
                <w:bCs/>
                <w:kern w:val="0"/>
                <w:sz w:val="22"/>
              </w:rPr>
              <w:t>负责推进秸秆综合利用体系建设，会同市生态环境局指导资源化利用单位利用处置回收的农业农村废弃物；</w:t>
            </w:r>
            <w:r>
              <w:rPr>
                <w:rFonts w:asciiTheme="minorEastAsia" w:hAnsiTheme="minorEastAsia" w:cs="宋体"/>
                <w:bCs/>
                <w:kern w:val="0"/>
                <w:sz w:val="22"/>
              </w:rPr>
              <w:br/>
            </w:r>
            <w:r>
              <w:rPr>
                <w:rFonts w:asciiTheme="minorEastAsia" w:hAnsiTheme="minorEastAsia" w:cs="宋体"/>
                <w:bCs/>
                <w:kern w:val="0"/>
                <w:sz w:val="22"/>
              </w:rPr>
              <w:t>2.</w:t>
            </w:r>
            <w:r>
              <w:rPr>
                <w:rFonts w:asciiTheme="minorEastAsia" w:hAnsiTheme="minorEastAsia" w:cs="宋体"/>
                <w:bCs/>
                <w:kern w:val="0"/>
                <w:sz w:val="22"/>
              </w:rPr>
              <w:t>负责秸秆肥料化、基料化相关工作；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畜禽粪污</w:t>
            </w: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收集转移</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市畜牧局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负责畜禽粪污综合利用指导和服务；</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市交通局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负责固体废物交通运输经营单位的监督管理工作；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配合固体废物收集运输车辆的监督管理工作；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资源化利用</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市畜牧局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会同有关部门拟定畜禽粪污资源化利用的政策和规划并组织实施，拟定畜禽粪污资源化</w:t>
            </w:r>
            <w:r>
              <w:rPr>
                <w:rFonts w:asciiTheme="minorEastAsia" w:hAnsiTheme="minorEastAsia" w:cs="宋体" w:hint="eastAsia"/>
                <w:bCs/>
                <w:kern w:val="0"/>
                <w:sz w:val="22"/>
              </w:rPr>
              <w:lastRenderedPageBreak/>
              <w:t>利用的制度、标准、规范并监督实施；</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废弃农膜</w:t>
            </w: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源头管控</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市工信局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负责农用薄膜生产指导工作；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市农业农村局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负责推进减少农用薄膜使用量及其废弃物产生量；</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收集转移</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市农业农村局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负责农用薄膜回收监督管理工作，指导农用薄膜回收利用体系建设；</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市生态环境局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负责农用薄膜回收过程环境污染防治的监督管理工作；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市交通局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负责固体废物交通运输经营单位的监督管理工作；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配合固体废物收集运输车辆的监督管理工作；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资源化利用</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市农业农村局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负责推进农用薄膜等农业农村废弃物综合利用体系建设，推进农膜废弃物的回收利用；</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农药包装废弃物</w:t>
            </w: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源头管控</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市农业农村局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负责推进减少化肥、农药等农业投入品使用量及其废弃物产生量；</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收集转移</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市农业农村局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指导建立农药包装废弃物回收体系；</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市交通局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负责固体废物交通运输经营单位的监督管理工作；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配合固体废物收集运输车辆的监督管理工作；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资源化利用</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市农业农村局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指导资源化利用单位利用处置回收的农药包装废弃物；</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最终处置</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市农业农村局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指导农药生产者、经营者和专业化服务机构开展农药包装废弃物的回收处理；</w:t>
            </w:r>
          </w:p>
        </w:tc>
      </w:tr>
      <w:tr w:rsidR="005A1ADB">
        <w:trPr>
          <w:trHeight w:val="20"/>
        </w:trPr>
        <w:tc>
          <w:tcPr>
            <w:tcW w:w="1101"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生活源固体废物</w:t>
            </w:r>
          </w:p>
        </w:tc>
        <w:tc>
          <w:tcPr>
            <w:tcW w:w="1417"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生活垃圾</w:t>
            </w: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源头管控</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市城市管理局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bCs/>
                <w:kern w:val="0"/>
                <w:sz w:val="22"/>
              </w:rPr>
              <w:t>1.</w:t>
            </w:r>
            <w:r>
              <w:rPr>
                <w:rFonts w:asciiTheme="minorEastAsia" w:hAnsiTheme="minorEastAsia" w:cs="宋体"/>
                <w:bCs/>
                <w:kern w:val="0"/>
                <w:sz w:val="22"/>
              </w:rPr>
              <w:t>负责推动生活垃圾分类，制定全市生活垃圾分类标准、规范及管理制度；</w:t>
            </w:r>
            <w:r>
              <w:rPr>
                <w:rFonts w:asciiTheme="minorEastAsia" w:hAnsiTheme="minorEastAsia" w:cs="宋体"/>
                <w:bCs/>
                <w:kern w:val="0"/>
                <w:sz w:val="22"/>
              </w:rPr>
              <w:br/>
            </w:r>
            <w:r>
              <w:rPr>
                <w:rFonts w:asciiTheme="minorEastAsia" w:hAnsiTheme="minorEastAsia" w:cs="宋体"/>
                <w:bCs/>
                <w:kern w:val="0"/>
                <w:sz w:val="22"/>
              </w:rPr>
              <w:t>2.</w:t>
            </w:r>
            <w:r>
              <w:rPr>
                <w:rFonts w:asciiTheme="minorEastAsia" w:hAnsiTheme="minorEastAsia" w:cs="宋体"/>
                <w:bCs/>
                <w:kern w:val="0"/>
                <w:sz w:val="22"/>
              </w:rPr>
              <w:t>会同有关部门制定、实施生活垃圾分类、源头减量和回收利用等鼓励性政策和措施；</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市商务局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鼓励引导商务领域减少使用塑料袋等一次性塑料制品</w:t>
            </w:r>
            <w:r>
              <w:rPr>
                <w:rFonts w:asciiTheme="minorEastAsia" w:hAnsiTheme="minorEastAsia" w:cs="宋体"/>
                <w:bCs/>
                <w:kern w:val="0"/>
                <w:sz w:val="22"/>
              </w:rPr>
              <w:t>；</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市文广旅局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负责星级酒店一次性塑料用品使用的管理；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市市场监管局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加强对过度包装的监督管理；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市邮政管理局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bCs/>
                <w:kern w:val="0"/>
                <w:sz w:val="22"/>
              </w:rPr>
              <w:t>1.</w:t>
            </w:r>
            <w:r>
              <w:rPr>
                <w:rFonts w:asciiTheme="minorEastAsia" w:hAnsiTheme="minorEastAsia" w:cs="宋体"/>
                <w:bCs/>
                <w:kern w:val="0"/>
                <w:sz w:val="22"/>
              </w:rPr>
              <w:t>负责对快递包装监督管理工作；</w:t>
            </w:r>
            <w:r>
              <w:rPr>
                <w:rFonts w:asciiTheme="minorEastAsia" w:hAnsiTheme="minorEastAsia" w:cs="宋体"/>
                <w:bCs/>
                <w:kern w:val="0"/>
                <w:sz w:val="22"/>
              </w:rPr>
              <w:br/>
              <w:t>2.</w:t>
            </w:r>
            <w:r>
              <w:rPr>
                <w:rFonts w:asciiTheme="minorEastAsia" w:hAnsiTheme="minorEastAsia" w:cs="宋体"/>
                <w:bCs/>
                <w:kern w:val="0"/>
                <w:sz w:val="22"/>
              </w:rPr>
              <w:t>对不可降解塑料袋等一次性塑料制品使用的监督管理；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收集转移</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市城市管理局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负责组织对城市生活垃圾进行清扫、收集、运输；</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市交通局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负责固体废物交通运输经营单位的监督管理工作；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配合固体废物收集运输车辆的监督管理工作；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资源化利用</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市城市管理局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负责组织开展生活垃圾、厨余垃圾等资源化工作；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最终处置</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市城市管理局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bCs/>
                <w:kern w:val="0"/>
                <w:sz w:val="22"/>
              </w:rPr>
              <w:t>1.</w:t>
            </w:r>
            <w:r>
              <w:rPr>
                <w:rFonts w:asciiTheme="minorEastAsia" w:hAnsiTheme="minorEastAsia" w:cs="宋体"/>
                <w:bCs/>
                <w:kern w:val="0"/>
                <w:sz w:val="22"/>
              </w:rPr>
              <w:t>负责指导城市生活垃圾处置设施建设工作，指导城市生活垃圾处置工作；</w:t>
            </w:r>
            <w:r>
              <w:rPr>
                <w:rFonts w:asciiTheme="minorEastAsia" w:hAnsiTheme="minorEastAsia" w:cs="宋体"/>
                <w:bCs/>
                <w:kern w:val="0"/>
                <w:sz w:val="22"/>
              </w:rPr>
              <w:br/>
              <w:t>2.</w:t>
            </w:r>
            <w:r>
              <w:rPr>
                <w:rFonts w:asciiTheme="minorEastAsia" w:hAnsiTheme="minorEastAsia" w:cs="宋体"/>
                <w:bCs/>
                <w:kern w:val="0"/>
                <w:sz w:val="22"/>
              </w:rPr>
              <w:t>对生活垃圾分类收集、运输、处置单位进行监督检查和考核；</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管理保障</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市教育局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负责开展生活垃圾源头减量等相关知识教育普及工作；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市城市管理局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bCs/>
                <w:kern w:val="0"/>
                <w:sz w:val="22"/>
              </w:rPr>
              <w:t>1.</w:t>
            </w:r>
            <w:r>
              <w:rPr>
                <w:rFonts w:asciiTheme="minorEastAsia" w:hAnsiTheme="minorEastAsia" w:cs="宋体"/>
                <w:bCs/>
                <w:kern w:val="0"/>
                <w:sz w:val="22"/>
              </w:rPr>
              <w:t>会同市场监督管理、生态环境、公安、畜牧等部门，定期开展餐厨垃圾管理联合执法；</w:t>
            </w:r>
            <w:r>
              <w:rPr>
                <w:rFonts w:asciiTheme="minorEastAsia" w:hAnsiTheme="minorEastAsia" w:cs="宋体"/>
                <w:bCs/>
                <w:kern w:val="0"/>
                <w:sz w:val="22"/>
              </w:rPr>
              <w:br/>
            </w:r>
            <w:r>
              <w:rPr>
                <w:rFonts w:asciiTheme="minorEastAsia" w:hAnsiTheme="minorEastAsia" w:cs="宋体"/>
                <w:bCs/>
                <w:kern w:val="0"/>
                <w:sz w:val="22"/>
              </w:rPr>
              <w:t>2.</w:t>
            </w:r>
            <w:r>
              <w:rPr>
                <w:rFonts w:asciiTheme="minorEastAsia" w:hAnsiTheme="minorEastAsia" w:cs="宋体"/>
                <w:bCs/>
                <w:kern w:val="0"/>
                <w:sz w:val="22"/>
              </w:rPr>
              <w:t>负责推动城市生活垃圾收运、处置环节的信息化工作；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市文广旅局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负责生活垃圾源头减量等宣传教育工作；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市市场监管局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负责查处以餐厨垃圾为原料制作、销售食品的违法行为；</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再生资源</w:t>
            </w: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收集转移</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市供销社</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具体实施全市再生资源回收工作；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市商务局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负责对报废机动车回收拆解活动实施监督管理；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市交通局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负责固体废物交通运输经营单位的监督管理工作；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配合固体废物收集运输车辆的监督管理工作；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资源化利用</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市供销社</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具体实施全市再生资源利用工作；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管理保障</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市城市管理局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负责全市再生资源回收的管理工作；</w:t>
            </w:r>
            <w:r>
              <w:rPr>
                <w:rFonts w:asciiTheme="minorEastAsia" w:hAnsiTheme="minorEastAsia" w:cs="宋体"/>
                <w:bCs/>
                <w:kern w:val="0"/>
                <w:sz w:val="22"/>
              </w:rPr>
              <w:br/>
              <w:t>1.</w:t>
            </w:r>
            <w:r>
              <w:rPr>
                <w:rFonts w:asciiTheme="minorEastAsia" w:hAnsiTheme="minorEastAsia" w:cs="宋体"/>
                <w:bCs/>
                <w:kern w:val="0"/>
                <w:sz w:val="22"/>
              </w:rPr>
              <w:t>承担指导管理和规范再生资源回收行业相关职责；</w:t>
            </w:r>
            <w:r>
              <w:rPr>
                <w:rFonts w:asciiTheme="minorEastAsia" w:hAnsiTheme="minorEastAsia" w:cs="宋体"/>
                <w:bCs/>
                <w:kern w:val="0"/>
                <w:sz w:val="22"/>
              </w:rPr>
              <w:br/>
              <w:t>2.</w:t>
            </w:r>
            <w:r>
              <w:rPr>
                <w:rFonts w:asciiTheme="minorEastAsia" w:hAnsiTheme="minorEastAsia" w:cs="宋体"/>
                <w:bCs/>
                <w:kern w:val="0"/>
                <w:sz w:val="22"/>
              </w:rPr>
              <w:t>会同有关部门依据国土空间规划编制、调整再生资源回收</w:t>
            </w:r>
            <w:r>
              <w:rPr>
                <w:rFonts w:asciiTheme="minorEastAsia" w:hAnsiTheme="minorEastAsia" w:cs="宋体" w:hint="eastAsia"/>
                <w:bCs/>
                <w:kern w:val="0"/>
                <w:sz w:val="22"/>
              </w:rPr>
              <w:t>点位</w:t>
            </w:r>
            <w:r>
              <w:rPr>
                <w:rFonts w:asciiTheme="minorEastAsia" w:hAnsiTheme="minorEastAsia" w:cs="宋体"/>
                <w:bCs/>
                <w:kern w:val="0"/>
                <w:sz w:val="22"/>
              </w:rPr>
              <w:t>规划；</w:t>
            </w:r>
            <w:r>
              <w:rPr>
                <w:rFonts w:asciiTheme="minorEastAsia" w:hAnsiTheme="minorEastAsia" w:cs="宋体"/>
                <w:bCs/>
                <w:kern w:val="0"/>
                <w:sz w:val="22"/>
              </w:rPr>
              <w:br/>
              <w:t>3.</w:t>
            </w:r>
            <w:r>
              <w:rPr>
                <w:rFonts w:asciiTheme="minorEastAsia" w:hAnsiTheme="minorEastAsia" w:cs="宋体"/>
                <w:bCs/>
                <w:kern w:val="0"/>
                <w:sz w:val="22"/>
              </w:rPr>
              <w:t>设置再生资源回收利用网点；</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市规自局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负责落实和完善再生资源回收利用体系建设相关用地政策；</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市税务局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负责再生资源企业税收优惠政策相关工作；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市生态环境局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对回收拆解企业回收拆解报废机动车活动的环境污染防治工作进行监督管理；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对报废机动车回收拆解行业治安状况、买卖伪造票证等活动实施监督管理；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城市污水污泥</w:t>
            </w: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源头管控</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市建委</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负责对城镇生活污水厂进行监督管理；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收集转移</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市建委</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负责对城镇生活污水厂污泥处理处置加强监督管理；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市交通局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负责固体废物交通运输经营单位的监督管理工作；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配合固体废物收集运输车辆的监督管理工作；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市生态环境局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对污泥的流向等相关记录进行归档；</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资源化利用</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市建委</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负责对城镇生活污水厂污泥处理处置加强监督管理；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市生态环境局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对污泥的流向、用途、用量等相关记录进行归档；</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r>
              <w:rPr>
                <w:rFonts w:asciiTheme="minorEastAsia" w:hAnsiTheme="minorEastAsia" w:cs="宋体" w:hint="eastAsia"/>
                <w:bCs/>
                <w:kern w:val="0"/>
                <w:sz w:val="22"/>
              </w:rPr>
              <w:t>最终处置</w:t>
            </w:r>
          </w:p>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市建委</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负责对城镇生活污水厂污泥处理处置加强监督管理；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市生态环境局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对污泥的流向、用途、用量等相关记录进行归档；</w:t>
            </w:r>
          </w:p>
        </w:tc>
      </w:tr>
      <w:tr w:rsidR="005A1ADB">
        <w:trPr>
          <w:trHeight w:val="20"/>
        </w:trPr>
        <w:tc>
          <w:tcPr>
            <w:tcW w:w="1101"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建筑垃圾</w:t>
            </w:r>
          </w:p>
        </w:tc>
        <w:tc>
          <w:tcPr>
            <w:tcW w:w="1417"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bCs/>
                <w:kern w:val="0"/>
                <w:sz w:val="22"/>
              </w:rPr>
              <w:t>/</w:t>
            </w: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源头管控</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市建委</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负责推行装配式等绿色建造方式，提倡绿色构造、绿色施工；</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收集转移</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市交通局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负责固体废物交通运输经营单位的监督管理工作；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配合固体废物收集运输车辆的监督管理工作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资源化利用</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市城市管理局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会同市建委推进建筑垃圾资源化利用；</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最终处置</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市建委</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按照文明施工的要求对建设工程施工现场的建筑垃圾处置进行监督管理；</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市城市管理局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会同市发改委、市规自局、市建委、市生态环境局、市财政局等部门</w:t>
            </w:r>
            <w:r>
              <w:rPr>
                <w:rFonts w:asciiTheme="minorEastAsia" w:hAnsiTheme="minorEastAsia" w:cs="宋体"/>
                <w:bCs/>
                <w:kern w:val="0"/>
                <w:sz w:val="22"/>
              </w:rPr>
              <w:t>,</w:t>
            </w:r>
            <w:r>
              <w:rPr>
                <w:rFonts w:asciiTheme="minorEastAsia" w:hAnsiTheme="minorEastAsia" w:cs="宋体" w:hint="eastAsia"/>
                <w:bCs/>
                <w:kern w:val="0"/>
                <w:sz w:val="22"/>
              </w:rPr>
              <w:t xml:space="preserve"> </w:t>
            </w:r>
            <w:r>
              <w:rPr>
                <w:rFonts w:asciiTheme="minorEastAsia" w:hAnsiTheme="minorEastAsia" w:cs="宋体" w:hint="eastAsia"/>
                <w:bCs/>
                <w:kern w:val="0"/>
                <w:sz w:val="22"/>
              </w:rPr>
              <w:t>编制建筑垃圾处置场所建设计划，并由区人民政府组织建设本辖区装修垃圾资源化利用处置厂</w:t>
            </w:r>
            <w:r>
              <w:rPr>
                <w:rFonts w:asciiTheme="minorEastAsia" w:hAnsiTheme="minorEastAsia" w:cs="宋体" w:hint="eastAsia"/>
                <w:bCs/>
                <w:kern w:val="0"/>
                <w:sz w:val="22"/>
              </w:rPr>
              <w:t>(</w:t>
            </w:r>
            <w:r>
              <w:rPr>
                <w:rFonts w:asciiTheme="minorEastAsia" w:hAnsiTheme="minorEastAsia" w:cs="宋体" w:hint="eastAsia"/>
                <w:bCs/>
                <w:kern w:val="0"/>
                <w:sz w:val="22"/>
              </w:rPr>
              <w:t>场</w:t>
            </w:r>
            <w:r>
              <w:rPr>
                <w:rFonts w:asciiTheme="minorEastAsia" w:hAnsiTheme="minorEastAsia" w:cs="宋体" w:hint="eastAsia"/>
                <w:bCs/>
                <w:kern w:val="0"/>
                <w:sz w:val="22"/>
              </w:rPr>
              <w:t>)</w:t>
            </w:r>
            <w:r>
              <w:rPr>
                <w:rFonts w:asciiTheme="minorEastAsia" w:hAnsiTheme="minorEastAsia" w:cs="宋体"/>
                <w:bCs/>
                <w:kern w:val="0"/>
                <w:sz w:val="22"/>
              </w:rPr>
              <w:t>；</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管理保障</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市城市管理局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bCs/>
                <w:kern w:val="0"/>
                <w:sz w:val="22"/>
              </w:rPr>
              <w:t>1.</w:t>
            </w:r>
            <w:r>
              <w:rPr>
                <w:rFonts w:asciiTheme="minorEastAsia" w:hAnsiTheme="minorEastAsia" w:cs="宋体" w:hint="eastAsia"/>
                <w:bCs/>
                <w:kern w:val="0"/>
                <w:sz w:val="22"/>
              </w:rPr>
              <w:t>负责组织、协调、监督本市建筑垃圾的管理工作，</w:t>
            </w:r>
            <w:r>
              <w:rPr>
                <w:rFonts w:asciiTheme="minorEastAsia" w:hAnsiTheme="minorEastAsia" w:cs="宋体"/>
                <w:bCs/>
                <w:kern w:val="0"/>
                <w:sz w:val="22"/>
              </w:rPr>
              <w:t>建立建筑垃圾全过程管理制度；</w:t>
            </w:r>
            <w:r>
              <w:rPr>
                <w:rFonts w:asciiTheme="minorEastAsia" w:hAnsiTheme="minorEastAsia" w:cs="宋体"/>
                <w:bCs/>
                <w:kern w:val="0"/>
                <w:sz w:val="22"/>
              </w:rPr>
              <w:br/>
              <w:t>2.</w:t>
            </w:r>
            <w:r>
              <w:rPr>
                <w:rFonts w:asciiTheme="minorEastAsia" w:hAnsiTheme="minorEastAsia" w:cs="宋体"/>
                <w:bCs/>
                <w:kern w:val="0"/>
                <w:sz w:val="22"/>
              </w:rPr>
              <w:t>定期会同市建委、市公安</w:t>
            </w:r>
            <w:r>
              <w:rPr>
                <w:rFonts w:asciiTheme="minorEastAsia" w:hAnsiTheme="minorEastAsia" w:cs="宋体" w:hint="eastAsia"/>
                <w:bCs/>
                <w:kern w:val="0"/>
                <w:sz w:val="22"/>
              </w:rPr>
              <w:t>局</w:t>
            </w:r>
            <w:r>
              <w:rPr>
                <w:rFonts w:asciiTheme="minorEastAsia" w:hAnsiTheme="minorEastAsia" w:cs="宋体"/>
                <w:bCs/>
                <w:kern w:val="0"/>
                <w:sz w:val="22"/>
              </w:rPr>
              <w:t>、市交通局、市生态环境局等有关部门开展联合执法</w:t>
            </w:r>
            <w:r>
              <w:rPr>
                <w:rFonts w:asciiTheme="minorEastAsia" w:hAnsiTheme="minorEastAsia" w:cs="宋体"/>
                <w:bCs/>
                <w:kern w:val="0"/>
                <w:sz w:val="22"/>
              </w:rPr>
              <w:t>,</w:t>
            </w:r>
            <w:r>
              <w:rPr>
                <w:rFonts w:asciiTheme="minorEastAsia" w:hAnsiTheme="minorEastAsia" w:cs="宋体"/>
                <w:bCs/>
                <w:kern w:val="0"/>
                <w:sz w:val="22"/>
              </w:rPr>
              <w:t>及时查处建筑垃圾处置违法行为；</w:t>
            </w:r>
          </w:p>
        </w:tc>
      </w:tr>
      <w:tr w:rsidR="005A1ADB">
        <w:trPr>
          <w:trHeight w:val="20"/>
        </w:trPr>
        <w:tc>
          <w:tcPr>
            <w:tcW w:w="1101"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危险废物</w:t>
            </w:r>
          </w:p>
        </w:tc>
        <w:tc>
          <w:tcPr>
            <w:tcW w:w="1417"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bCs/>
                <w:kern w:val="0"/>
                <w:sz w:val="22"/>
              </w:rPr>
              <w:t>/</w:t>
            </w: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源头管控</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市卫健委</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负责医疗废物源头分类管理；</w:t>
            </w:r>
          </w:p>
        </w:tc>
      </w:tr>
      <w:tr w:rsidR="005A1ADB">
        <w:trPr>
          <w:trHeight w:val="20"/>
        </w:trPr>
        <w:tc>
          <w:tcPr>
            <w:tcW w:w="1101" w:type="dxa"/>
            <w:vMerge/>
            <w:shd w:val="clear" w:color="auto" w:fill="auto"/>
            <w:noWrap/>
            <w:vAlign w:val="center"/>
          </w:tcPr>
          <w:p w:rsidR="005A1ADB" w:rsidRDefault="005A1ADB"/>
        </w:tc>
        <w:tc>
          <w:tcPr>
            <w:tcW w:w="1417" w:type="dxa"/>
            <w:vMerge/>
            <w:shd w:val="clear" w:color="auto" w:fill="auto"/>
            <w:noWrap/>
            <w:vAlign w:val="center"/>
          </w:tcPr>
          <w:p w:rsidR="005A1ADB" w:rsidRDefault="005A1ADB"/>
        </w:tc>
        <w:tc>
          <w:tcPr>
            <w:tcW w:w="1559" w:type="dxa"/>
            <w:vMerge/>
            <w:shd w:val="clear" w:color="auto" w:fill="auto"/>
            <w:noWrap/>
            <w:vAlign w:val="center"/>
          </w:tcPr>
          <w:p w:rsidR="005A1ADB" w:rsidRDefault="005A1ADB"/>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市工信局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负责推进绿色制造、清洁生产，执行公布的限期淘汰产生严重污染环境的工业固体废物的落后生产工艺、设备的名录；</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市生态环境局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对从事产生危险废物活动的单位和其他生产经营者进行现场检查；</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收集转移</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市卫健委</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监督指导医疗卫生机构做好医疗废物收集、运送、贮存工作；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市生态环境局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对从事收集、贮存、运输危险废物等活动的单位和其他生产经营者进行现场检查；</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市交通局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负责固体废物交通运输经营单位的监督管理工作；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市公安局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配合固体废物收集运输车辆的监督管理工作；</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资源化利用</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市生态环境局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对从事利用危险废物等活动的单位和其他生产经营者进行现场检查；</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val="restart"/>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最终处置</w:t>
            </w: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市生态环境局</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hint="eastAsia"/>
                <w:bCs/>
                <w:kern w:val="0"/>
                <w:sz w:val="22"/>
              </w:rPr>
              <w:t>负责危险废物污染环境防治工作的统一监督管理；</w:t>
            </w:r>
            <w:r>
              <w:rPr>
                <w:rFonts w:asciiTheme="minorEastAsia" w:hAnsiTheme="minorEastAsia" w:cs="宋体"/>
                <w:bCs/>
                <w:kern w:val="0"/>
                <w:sz w:val="22"/>
              </w:rPr>
              <w:br/>
              <w:t>1.</w:t>
            </w:r>
            <w:r>
              <w:rPr>
                <w:rFonts w:asciiTheme="minorEastAsia" w:hAnsiTheme="minorEastAsia" w:cs="宋体"/>
                <w:bCs/>
                <w:kern w:val="0"/>
                <w:sz w:val="22"/>
              </w:rPr>
              <w:t>存档管理危险废物经营单位的经营情况记录；</w:t>
            </w:r>
            <w:r>
              <w:rPr>
                <w:rFonts w:asciiTheme="minorEastAsia" w:hAnsiTheme="minorEastAsia" w:cs="宋体"/>
                <w:bCs/>
                <w:kern w:val="0"/>
                <w:sz w:val="22"/>
              </w:rPr>
              <w:br/>
            </w:r>
            <w:r>
              <w:rPr>
                <w:rFonts w:asciiTheme="minorEastAsia" w:hAnsiTheme="minorEastAsia" w:cs="宋体"/>
                <w:bCs/>
                <w:kern w:val="0"/>
                <w:sz w:val="22"/>
              </w:rPr>
              <w:lastRenderedPageBreak/>
              <w:t>2.</w:t>
            </w:r>
            <w:r>
              <w:rPr>
                <w:rFonts w:asciiTheme="minorEastAsia" w:hAnsiTheme="minorEastAsia" w:cs="宋体"/>
                <w:bCs/>
                <w:kern w:val="0"/>
                <w:sz w:val="22"/>
              </w:rPr>
              <w:t>定期向社会发布危险废物的种类、产生量、处置能力、利用处置状况等信息；</w:t>
            </w:r>
            <w:r>
              <w:rPr>
                <w:rFonts w:asciiTheme="minorEastAsia" w:hAnsiTheme="minorEastAsia" w:cs="宋体"/>
                <w:bCs/>
                <w:kern w:val="0"/>
                <w:sz w:val="22"/>
              </w:rPr>
              <w:br/>
              <w:t>3.</w:t>
            </w:r>
            <w:r>
              <w:rPr>
                <w:rFonts w:asciiTheme="minorEastAsia" w:hAnsiTheme="minorEastAsia" w:cs="宋体"/>
                <w:bCs/>
                <w:kern w:val="0"/>
                <w:sz w:val="22"/>
              </w:rPr>
              <w:t>对从事处置危险废物活动的单位和其他生产经营者进行现场检查；</w:t>
            </w:r>
            <w:r>
              <w:rPr>
                <w:rFonts w:asciiTheme="minorEastAsia" w:hAnsiTheme="minorEastAsia" w:cs="宋体"/>
                <w:bCs/>
                <w:kern w:val="0"/>
                <w:sz w:val="22"/>
              </w:rPr>
              <w:br/>
              <w:t>4.</w:t>
            </w:r>
            <w:r>
              <w:rPr>
                <w:rFonts w:asciiTheme="minorEastAsia" w:hAnsiTheme="minorEastAsia" w:cs="宋体"/>
                <w:bCs/>
                <w:kern w:val="0"/>
                <w:sz w:val="22"/>
              </w:rPr>
              <w:t>按照职责分工，对医疗卫生机构和医疗废物集中处置单位进行监督检查；</w:t>
            </w:r>
          </w:p>
        </w:tc>
      </w:tr>
      <w:tr w:rsidR="005A1ADB">
        <w:trPr>
          <w:trHeight w:val="20"/>
        </w:trPr>
        <w:tc>
          <w:tcPr>
            <w:tcW w:w="1101"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417"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59" w:type="dxa"/>
            <w:vMerge/>
            <w:shd w:val="clear" w:color="auto" w:fill="auto"/>
            <w:noWrap/>
            <w:vAlign w:val="center"/>
          </w:tcPr>
          <w:p w:rsidR="005A1ADB" w:rsidRDefault="005A1ADB">
            <w:pPr>
              <w:jc w:val="center"/>
              <w:rPr>
                <w:rFonts w:asciiTheme="minorEastAsia" w:hAnsiTheme="minorEastAsia" w:cs="宋体"/>
                <w:bCs/>
                <w:kern w:val="0"/>
                <w:sz w:val="22"/>
              </w:rPr>
            </w:pPr>
          </w:p>
        </w:tc>
        <w:tc>
          <w:tcPr>
            <w:tcW w:w="1560" w:type="dxa"/>
            <w:shd w:val="clear" w:color="auto" w:fill="auto"/>
            <w:noWrap/>
            <w:vAlign w:val="center"/>
          </w:tcPr>
          <w:p w:rsidR="005A1ADB" w:rsidRDefault="000B6ECF">
            <w:pPr>
              <w:jc w:val="center"/>
              <w:rPr>
                <w:rFonts w:asciiTheme="minorEastAsia" w:hAnsiTheme="minorEastAsia" w:cs="宋体"/>
                <w:bCs/>
                <w:kern w:val="0"/>
                <w:sz w:val="22"/>
              </w:rPr>
            </w:pPr>
            <w:r>
              <w:rPr>
                <w:rFonts w:asciiTheme="minorEastAsia" w:hAnsiTheme="minorEastAsia" w:cs="宋体" w:hint="eastAsia"/>
                <w:bCs/>
                <w:kern w:val="0"/>
                <w:sz w:val="22"/>
              </w:rPr>
              <w:t>市卫健委</w:t>
            </w:r>
          </w:p>
        </w:tc>
        <w:tc>
          <w:tcPr>
            <w:tcW w:w="8537" w:type="dxa"/>
            <w:shd w:val="clear" w:color="auto" w:fill="auto"/>
            <w:noWrap/>
            <w:vAlign w:val="center"/>
          </w:tcPr>
          <w:p w:rsidR="005A1ADB" w:rsidRDefault="000B6ECF">
            <w:pPr>
              <w:jc w:val="left"/>
              <w:rPr>
                <w:rFonts w:asciiTheme="minorEastAsia" w:hAnsiTheme="minorEastAsia" w:cs="宋体"/>
                <w:bCs/>
                <w:kern w:val="0"/>
                <w:sz w:val="22"/>
              </w:rPr>
            </w:pPr>
            <w:r>
              <w:rPr>
                <w:rFonts w:asciiTheme="minorEastAsia" w:hAnsiTheme="minorEastAsia" w:cs="宋体"/>
                <w:bCs/>
                <w:kern w:val="0"/>
                <w:sz w:val="22"/>
              </w:rPr>
              <w:t>1.</w:t>
            </w:r>
            <w:r>
              <w:rPr>
                <w:rFonts w:asciiTheme="minorEastAsia" w:hAnsiTheme="minorEastAsia" w:cs="宋体"/>
                <w:bCs/>
                <w:kern w:val="0"/>
                <w:sz w:val="22"/>
              </w:rPr>
              <w:t>监督指导医疗卫生机构做好医疗废物处置工作；</w:t>
            </w:r>
            <w:r>
              <w:rPr>
                <w:rFonts w:asciiTheme="minorEastAsia" w:hAnsiTheme="minorEastAsia" w:cs="宋体"/>
                <w:bCs/>
                <w:kern w:val="0"/>
                <w:sz w:val="22"/>
              </w:rPr>
              <w:br/>
            </w:r>
            <w:r>
              <w:rPr>
                <w:rFonts w:asciiTheme="minorEastAsia" w:hAnsiTheme="minorEastAsia" w:cs="宋体"/>
                <w:bCs/>
                <w:kern w:val="0"/>
                <w:sz w:val="22"/>
              </w:rPr>
              <w:t>2.</w:t>
            </w:r>
            <w:r>
              <w:rPr>
                <w:rFonts w:asciiTheme="minorEastAsia" w:hAnsiTheme="minorEastAsia" w:cs="宋体"/>
                <w:bCs/>
                <w:kern w:val="0"/>
                <w:sz w:val="22"/>
              </w:rPr>
              <w:t>按照职责分工，对医疗卫生机构和医疗废物集中处置单位进行监督检查；</w:t>
            </w:r>
          </w:p>
        </w:tc>
      </w:tr>
    </w:tbl>
    <w:p w:rsidR="005A1ADB" w:rsidRDefault="000B6ECF">
      <w:pPr>
        <w:jc w:val="center"/>
        <w:rPr>
          <w:rStyle w:val="af"/>
          <w:rFonts w:ascii="宋体" w:hAnsi="宋体" w:cs="宋体"/>
          <w:sz w:val="28"/>
          <w:szCs w:val="28"/>
        </w:rPr>
        <w:sectPr w:rsidR="005A1ADB">
          <w:pgSz w:w="16838" w:h="11906" w:orient="landscape"/>
          <w:pgMar w:top="1800" w:right="1440" w:bottom="1800" w:left="1440" w:header="851" w:footer="992" w:gutter="0"/>
          <w:cols w:space="425"/>
          <w:docGrid w:type="lines" w:linePitch="312"/>
        </w:sectPr>
      </w:pPr>
      <w:r>
        <w:rPr>
          <w:rStyle w:val="af"/>
          <w:rFonts w:ascii="宋体" w:hAnsi="宋体" w:cs="宋体"/>
          <w:sz w:val="28"/>
          <w:szCs w:val="28"/>
        </w:rPr>
        <w:br w:type="textWrapping" w:clear="all"/>
      </w:r>
    </w:p>
    <w:p w:rsidR="005A1ADB" w:rsidRDefault="005A1ADB">
      <w:pPr>
        <w:rPr>
          <w:rStyle w:val="af"/>
          <w:rFonts w:ascii="宋体" w:hAnsi="宋体" w:cs="宋体"/>
          <w:sz w:val="28"/>
          <w:szCs w:val="28"/>
        </w:rPr>
      </w:pPr>
    </w:p>
    <w:p w:rsidR="005A1ADB" w:rsidRDefault="000B6ECF">
      <w:pPr>
        <w:jc w:val="left"/>
        <w:outlineLvl w:val="0"/>
        <w:rPr>
          <w:rStyle w:val="af"/>
          <w:rFonts w:ascii="宋体" w:hAnsi="宋体" w:cs="宋体"/>
          <w:sz w:val="28"/>
          <w:szCs w:val="28"/>
        </w:rPr>
      </w:pPr>
      <w:bookmarkStart w:id="151" w:name="_Toc115079287"/>
      <w:r>
        <w:rPr>
          <w:rStyle w:val="af"/>
          <w:rFonts w:ascii="宋体" w:hAnsi="宋体" w:cs="宋体" w:hint="eastAsia"/>
          <w:sz w:val="28"/>
          <w:szCs w:val="28"/>
        </w:rPr>
        <w:t>附件</w:t>
      </w:r>
      <w:r>
        <w:rPr>
          <w:rStyle w:val="af"/>
          <w:rFonts w:ascii="宋体" w:hAnsi="宋体" w:cs="宋体" w:hint="eastAsia"/>
          <w:sz w:val="28"/>
          <w:szCs w:val="28"/>
        </w:rPr>
        <w:t xml:space="preserve">3                                </w:t>
      </w:r>
      <w:r>
        <w:rPr>
          <w:rStyle w:val="af"/>
          <w:rFonts w:ascii="宋体" w:hAnsi="宋体" w:cs="宋体" w:hint="eastAsia"/>
          <w:sz w:val="28"/>
          <w:szCs w:val="28"/>
        </w:rPr>
        <w:t>“无废城市”建设任务清单</w:t>
      </w:r>
      <w:bookmarkEnd w:id="148"/>
      <w:bookmarkEnd w:id="149"/>
      <w:bookmarkEnd w:id="150"/>
      <w:bookmarkEnd w:id="151"/>
    </w:p>
    <w:tbl>
      <w:tblPr>
        <w:tblW w:w="5000" w:type="pct"/>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Look w:val="04A0"/>
      </w:tblPr>
      <w:tblGrid>
        <w:gridCol w:w="849"/>
        <w:gridCol w:w="15"/>
        <w:gridCol w:w="3394"/>
        <w:gridCol w:w="2930"/>
        <w:gridCol w:w="1874"/>
        <w:gridCol w:w="162"/>
        <w:gridCol w:w="1046"/>
        <w:gridCol w:w="1533"/>
        <w:gridCol w:w="2185"/>
      </w:tblGrid>
      <w:tr w:rsidR="005A1ADB">
        <w:trPr>
          <w:trHeight w:val="445"/>
        </w:trPr>
        <w:tc>
          <w:tcPr>
            <w:tcW w:w="4933" w:type="pct"/>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eastAsia="宋体" w:hAnsiTheme="minorEastAsia" w:cstheme="minorEastAsia"/>
                <w:sz w:val="22"/>
              </w:rPr>
            </w:pPr>
            <w:bookmarkStart w:id="152" w:name="OLE_LINK1"/>
            <w:bookmarkStart w:id="153" w:name="_Toc20141"/>
            <w:bookmarkStart w:id="154" w:name="_Toc16957"/>
            <w:r>
              <w:rPr>
                <w:rStyle w:val="font01"/>
                <w:rFonts w:asciiTheme="minorEastAsia" w:eastAsiaTheme="minorEastAsia" w:hAnsiTheme="minorEastAsia" w:cstheme="minorEastAsia" w:hint="eastAsia"/>
                <w:b/>
                <w:color w:val="auto"/>
                <w:sz w:val="19"/>
                <w:szCs w:val="19"/>
              </w:rPr>
              <w:t>Ⅰ</w:t>
            </w:r>
            <w:r>
              <w:rPr>
                <w:rStyle w:val="font01"/>
                <w:rFonts w:asciiTheme="minorEastAsia" w:eastAsiaTheme="minorEastAsia" w:hAnsiTheme="minorEastAsia" w:cstheme="minorEastAsia"/>
                <w:b/>
                <w:color w:val="auto"/>
                <w:sz w:val="19"/>
                <w:szCs w:val="19"/>
              </w:rPr>
              <w:t xml:space="preserve"> </w:t>
            </w:r>
            <w:r>
              <w:rPr>
                <w:rStyle w:val="font01"/>
                <w:rFonts w:asciiTheme="minorEastAsia" w:eastAsiaTheme="minorEastAsia" w:hAnsiTheme="minorEastAsia" w:cstheme="minorEastAsia" w:hint="eastAsia"/>
                <w:b/>
                <w:color w:val="auto"/>
                <w:sz w:val="19"/>
                <w:szCs w:val="19"/>
              </w:rPr>
              <w:t>制度体系</w:t>
            </w:r>
            <w:r>
              <w:rPr>
                <w:rStyle w:val="font01"/>
                <w:rFonts w:asciiTheme="minorEastAsia" w:hAnsiTheme="minorEastAsia" w:cstheme="minorEastAsia" w:hint="eastAsia"/>
                <w:b/>
                <w:color w:val="auto"/>
              </w:rPr>
              <w:t>：</w:t>
            </w:r>
            <w:r>
              <w:rPr>
                <w:rStyle w:val="font01"/>
                <w:rFonts w:asciiTheme="minorEastAsia" w:eastAsiaTheme="minorEastAsia" w:hAnsiTheme="minorEastAsia" w:cstheme="minorEastAsia" w:hint="eastAsia"/>
                <w:b/>
                <w:color w:val="auto"/>
                <w:sz w:val="19"/>
                <w:szCs w:val="19"/>
              </w:rPr>
              <w:t>主要包括协调考核机制、地方政府或部门相关文件、专项管理措施、宣传教育措施及其他共</w:t>
            </w:r>
            <w:r>
              <w:rPr>
                <w:rStyle w:val="font01"/>
                <w:rFonts w:asciiTheme="minorEastAsia" w:eastAsiaTheme="minorEastAsia" w:hAnsiTheme="minorEastAsia" w:cstheme="minorEastAsia"/>
                <w:b/>
                <w:color w:val="auto"/>
                <w:sz w:val="19"/>
                <w:szCs w:val="19"/>
              </w:rPr>
              <w:t>5</w:t>
            </w:r>
            <w:r>
              <w:rPr>
                <w:rStyle w:val="font01"/>
                <w:rFonts w:asciiTheme="minorEastAsia" w:eastAsiaTheme="minorEastAsia" w:hAnsiTheme="minorEastAsia" w:cstheme="minorEastAsia" w:hint="eastAsia"/>
                <w:b/>
                <w:color w:val="auto"/>
                <w:sz w:val="19"/>
                <w:szCs w:val="19"/>
              </w:rPr>
              <w:t>个领域，共部署</w:t>
            </w:r>
            <w:r>
              <w:rPr>
                <w:rStyle w:val="font01"/>
                <w:rFonts w:asciiTheme="minorEastAsia" w:hAnsiTheme="minorEastAsia" w:cstheme="minorEastAsia" w:hint="eastAsia"/>
                <w:b/>
                <w:color w:val="auto"/>
              </w:rPr>
              <w:t>28</w:t>
            </w:r>
            <w:r>
              <w:rPr>
                <w:rStyle w:val="font01"/>
                <w:rFonts w:asciiTheme="minorEastAsia" w:eastAsiaTheme="minorEastAsia" w:hAnsiTheme="minorEastAsia" w:cstheme="minorEastAsia" w:hint="eastAsia"/>
                <w:b/>
                <w:color w:val="auto"/>
                <w:sz w:val="19"/>
                <w:szCs w:val="19"/>
              </w:rPr>
              <w:t>项任务。</w:t>
            </w:r>
          </w:p>
        </w:tc>
      </w:tr>
      <w:bookmarkEnd w:id="152"/>
      <w:tr w:rsidR="005A1ADB">
        <w:trPr>
          <w:trHeight w:val="445"/>
        </w:trPr>
        <w:tc>
          <w:tcPr>
            <w:tcW w:w="299"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序号</w:t>
            </w:r>
          </w:p>
        </w:tc>
        <w:tc>
          <w:tcPr>
            <w:tcW w:w="1202"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任务清单</w:t>
            </w:r>
          </w:p>
        </w:tc>
        <w:tc>
          <w:tcPr>
            <w:tcW w:w="1033"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预期目标</w:t>
            </w:r>
          </w:p>
        </w:tc>
        <w:tc>
          <w:tcPr>
            <w:tcW w:w="718" w:type="pct"/>
            <w:gridSpan w:val="2"/>
            <w:vMerge w:val="restart"/>
            <w:tcBorders>
              <w:top w:val="single" w:sz="4" w:space="0" w:color="000000"/>
              <w:left w:val="single" w:sz="4" w:space="0" w:color="000000"/>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责任主体</w:t>
            </w:r>
          </w:p>
        </w:tc>
        <w:tc>
          <w:tcPr>
            <w:tcW w:w="368" w:type="pct"/>
            <w:vMerge w:val="restart"/>
            <w:tcBorders>
              <w:top w:val="single" w:sz="4" w:space="0" w:color="000000"/>
              <w:left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配合单位</w:t>
            </w:r>
          </w:p>
        </w:tc>
        <w:tc>
          <w:tcPr>
            <w:tcW w:w="130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进度安排</w:t>
            </w:r>
          </w:p>
        </w:tc>
      </w:tr>
      <w:tr w:rsidR="005A1ADB">
        <w:trPr>
          <w:trHeight w:val="535"/>
        </w:trPr>
        <w:tc>
          <w:tcPr>
            <w:tcW w:w="29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1202" w:type="pct"/>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1033"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718" w:type="pct"/>
            <w:gridSpan w:val="2"/>
            <w:vMerge/>
            <w:tcBorders>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368" w:type="pct"/>
            <w:vMerge/>
            <w:tcBorders>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5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Style w:val="font11"/>
                <w:rFonts w:asciiTheme="minorEastAsia" w:hAnsiTheme="minorEastAsia" w:cstheme="minorEastAsia" w:hint="eastAsia"/>
                <w:color w:val="auto"/>
              </w:rPr>
              <w:t>2022</w:t>
            </w:r>
            <w:r>
              <w:rPr>
                <w:rStyle w:val="font01"/>
                <w:rFonts w:asciiTheme="minorEastAsia" w:eastAsiaTheme="minorEastAsia" w:hAnsiTheme="minorEastAsia" w:cstheme="minorEastAsia" w:hint="eastAsia"/>
                <w:color w:val="auto"/>
              </w:rPr>
              <w:t>年</w:t>
            </w:r>
          </w:p>
        </w:tc>
        <w:tc>
          <w:tcPr>
            <w:tcW w:w="7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Style w:val="font11"/>
                <w:rFonts w:asciiTheme="minorEastAsia" w:hAnsiTheme="minorEastAsia" w:cstheme="minorEastAsia" w:hint="eastAsia"/>
                <w:color w:val="auto"/>
              </w:rPr>
              <w:t>2023</w:t>
            </w:r>
            <w:r>
              <w:rPr>
                <w:rStyle w:val="font01"/>
                <w:rFonts w:asciiTheme="minorEastAsia" w:eastAsiaTheme="minorEastAsia" w:hAnsiTheme="minorEastAsia" w:cstheme="minorEastAsia" w:hint="eastAsia"/>
                <w:color w:val="auto"/>
              </w:rPr>
              <w:t>年</w:t>
            </w:r>
          </w:p>
        </w:tc>
      </w:tr>
      <w:tr w:rsidR="005A1ADB">
        <w:trPr>
          <w:cantSplit/>
          <w:trHeight w:val="300"/>
        </w:trPr>
        <w:tc>
          <w:tcPr>
            <w:tcW w:w="4933" w:type="pct"/>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b/>
                <w:sz w:val="22"/>
              </w:rPr>
            </w:pPr>
            <w:r>
              <w:rPr>
                <w:rStyle w:val="font01"/>
                <w:rFonts w:asciiTheme="minorEastAsia" w:eastAsiaTheme="minorEastAsia" w:hAnsiTheme="minorEastAsia" w:cstheme="minorEastAsia" w:hint="eastAsia"/>
                <w:b/>
                <w:color w:val="auto"/>
                <w:sz w:val="19"/>
                <w:szCs w:val="19"/>
                <w:shd w:val="clear" w:color="auto" w:fill="FFFFFF"/>
              </w:rPr>
              <w:t>Ⅰ</w:t>
            </w:r>
            <w:r>
              <w:rPr>
                <w:rStyle w:val="font01"/>
                <w:rFonts w:asciiTheme="minorEastAsia" w:hAnsiTheme="minorEastAsia" w:cstheme="minorEastAsia" w:hint="eastAsia"/>
                <w:b/>
                <w:color w:val="auto"/>
                <w:sz w:val="19"/>
                <w:szCs w:val="19"/>
                <w:shd w:val="clear" w:color="auto" w:fill="FFFFFF"/>
              </w:rPr>
              <w:t>-1</w:t>
            </w:r>
            <w:r>
              <w:rPr>
                <w:rStyle w:val="font01"/>
                <w:rFonts w:asciiTheme="minorEastAsia" w:eastAsiaTheme="minorEastAsia" w:hAnsiTheme="minorEastAsia" w:cstheme="minorEastAsia" w:hint="eastAsia"/>
                <w:b/>
                <w:color w:val="auto"/>
                <w:sz w:val="19"/>
                <w:szCs w:val="19"/>
                <w:shd w:val="clear" w:color="auto" w:fill="FFFFFF"/>
              </w:rPr>
              <w:t xml:space="preserve"> </w:t>
            </w:r>
            <w:r>
              <w:rPr>
                <w:rStyle w:val="font01"/>
                <w:rFonts w:asciiTheme="minorEastAsia" w:eastAsiaTheme="minorEastAsia" w:hAnsiTheme="minorEastAsia" w:cstheme="minorEastAsia" w:hint="eastAsia"/>
                <w:b/>
                <w:color w:val="auto"/>
              </w:rPr>
              <w:t>建立协调考核机制</w:t>
            </w:r>
          </w:p>
        </w:tc>
      </w:tr>
      <w:tr w:rsidR="005A1ADB">
        <w:trPr>
          <w:cantSplit/>
          <w:trHeight w:val="1140"/>
        </w:trPr>
        <w:tc>
          <w:tcPr>
            <w:tcW w:w="2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1</w:t>
            </w:r>
          </w:p>
        </w:tc>
        <w:tc>
          <w:tcPr>
            <w:tcW w:w="12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Style w:val="font11"/>
                <w:rFonts w:asciiTheme="minorEastAsia" w:hAnsiTheme="minorEastAsia" w:cstheme="minorEastAsia" w:hint="eastAsia"/>
                <w:color w:val="auto"/>
              </w:rPr>
              <w:t>成立“</w:t>
            </w:r>
            <w:r>
              <w:rPr>
                <w:rStyle w:val="font01"/>
                <w:rFonts w:asciiTheme="minorEastAsia" w:eastAsiaTheme="minorEastAsia" w:hAnsiTheme="minorEastAsia" w:cstheme="minorEastAsia" w:hint="eastAsia"/>
                <w:color w:val="auto"/>
              </w:rPr>
              <w:t>无废城市</w:t>
            </w:r>
            <w:r>
              <w:rPr>
                <w:rStyle w:val="font11"/>
                <w:rFonts w:asciiTheme="minorEastAsia" w:hAnsiTheme="minorEastAsia" w:cstheme="minorEastAsia" w:hint="eastAsia"/>
                <w:color w:val="auto"/>
              </w:rPr>
              <w:t>”</w:t>
            </w:r>
            <w:r>
              <w:rPr>
                <w:rStyle w:val="font01"/>
                <w:rFonts w:asciiTheme="minorEastAsia" w:eastAsiaTheme="minorEastAsia" w:hAnsiTheme="minorEastAsia" w:cstheme="minorEastAsia" w:hint="eastAsia"/>
                <w:color w:val="auto"/>
              </w:rPr>
              <w:t>建设领导小组及工作专班，建立推进工作协调运行机制，</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形成分工明确、职责清晰、协同增效的综合管理体制机制</w:t>
            </w:r>
          </w:p>
        </w:tc>
        <w:tc>
          <w:tcPr>
            <w:tcW w:w="7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市政府</w:t>
            </w:r>
          </w:p>
        </w:tc>
        <w:tc>
          <w:tcPr>
            <w:tcW w:w="368" w:type="pct"/>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widowControl/>
              <w:jc w:val="center"/>
              <w:textAlignment w:val="center"/>
              <w:rPr>
                <w:rFonts w:asciiTheme="minorEastAsia" w:hAnsiTheme="minorEastAsia" w:cstheme="minorEastAsia"/>
                <w:kern w:val="0"/>
                <w:sz w:val="22"/>
              </w:rPr>
            </w:pPr>
          </w:p>
        </w:tc>
        <w:tc>
          <w:tcPr>
            <w:tcW w:w="5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Style w:val="font01"/>
                <w:rFonts w:asciiTheme="minorEastAsia" w:eastAsiaTheme="minorEastAsia" w:hAnsiTheme="minorEastAsia" w:cstheme="minorEastAsia" w:hint="eastAsia"/>
                <w:color w:val="auto"/>
              </w:rPr>
              <w:t>成立</w:t>
            </w:r>
          </w:p>
        </w:tc>
        <w:tc>
          <w:tcPr>
            <w:tcW w:w="7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ind w:firstLineChars="400" w:firstLine="880"/>
              <w:jc w:val="left"/>
              <w:textAlignment w:val="center"/>
              <w:rPr>
                <w:rFonts w:asciiTheme="minorEastAsia" w:hAnsiTheme="minorEastAsia" w:cstheme="minorEastAsia"/>
                <w:sz w:val="22"/>
              </w:rPr>
            </w:pPr>
            <w:r>
              <w:rPr>
                <w:rFonts w:asciiTheme="minorEastAsia" w:hAnsiTheme="minorEastAsia" w:cstheme="minorEastAsia" w:hint="eastAsia"/>
                <w:kern w:val="0"/>
                <w:sz w:val="22"/>
              </w:rPr>
              <w:t>落实</w:t>
            </w:r>
          </w:p>
        </w:tc>
      </w:tr>
      <w:tr w:rsidR="005A1ADB">
        <w:trPr>
          <w:cantSplit/>
          <w:trHeight w:val="1539"/>
        </w:trPr>
        <w:tc>
          <w:tcPr>
            <w:tcW w:w="2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2</w:t>
            </w:r>
          </w:p>
        </w:tc>
        <w:tc>
          <w:tcPr>
            <w:tcW w:w="12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Style w:val="font11"/>
                <w:rFonts w:asciiTheme="minorEastAsia" w:hAnsiTheme="minorEastAsia" w:cstheme="minorEastAsia" w:hint="eastAsia"/>
                <w:color w:val="auto"/>
              </w:rPr>
              <w:t>建立“</w:t>
            </w:r>
            <w:r>
              <w:rPr>
                <w:rStyle w:val="font01"/>
                <w:rFonts w:asciiTheme="minorEastAsia" w:eastAsiaTheme="minorEastAsia" w:hAnsiTheme="minorEastAsia" w:cstheme="minorEastAsia" w:hint="eastAsia"/>
                <w:color w:val="auto"/>
              </w:rPr>
              <w:t>无废城市</w:t>
            </w:r>
            <w:r>
              <w:rPr>
                <w:rStyle w:val="font11"/>
                <w:rFonts w:asciiTheme="minorEastAsia" w:hAnsiTheme="minorEastAsia" w:cstheme="minorEastAsia" w:hint="eastAsia"/>
                <w:color w:val="auto"/>
              </w:rPr>
              <w:t>”</w:t>
            </w:r>
            <w:r>
              <w:rPr>
                <w:rStyle w:val="font01"/>
                <w:rFonts w:asciiTheme="minorEastAsia" w:eastAsiaTheme="minorEastAsia" w:hAnsiTheme="minorEastAsia" w:cstheme="minorEastAsia" w:hint="eastAsia"/>
                <w:color w:val="auto"/>
              </w:rPr>
              <w:t>绩效、政绩评价考核机制，定期开展绩效评价考核</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Style w:val="font01"/>
                <w:rFonts w:asciiTheme="minorEastAsia" w:eastAsiaTheme="minorEastAsia" w:hAnsiTheme="minorEastAsia" w:cstheme="minorEastAsia" w:hint="eastAsia"/>
                <w:color w:val="auto"/>
              </w:rPr>
              <w:t>将</w:t>
            </w:r>
            <w:r>
              <w:rPr>
                <w:rStyle w:val="font11"/>
                <w:rFonts w:asciiTheme="minorEastAsia" w:hAnsiTheme="minorEastAsia" w:cstheme="minorEastAsia" w:hint="eastAsia"/>
                <w:color w:val="auto"/>
              </w:rPr>
              <w:t>“</w:t>
            </w:r>
            <w:r>
              <w:rPr>
                <w:rStyle w:val="font01"/>
                <w:rFonts w:asciiTheme="minorEastAsia" w:eastAsiaTheme="minorEastAsia" w:hAnsiTheme="minorEastAsia" w:cstheme="minorEastAsia" w:hint="eastAsia"/>
                <w:color w:val="auto"/>
              </w:rPr>
              <w:t>无废城市</w:t>
            </w:r>
            <w:r>
              <w:rPr>
                <w:rStyle w:val="font11"/>
                <w:rFonts w:asciiTheme="minorEastAsia" w:hAnsiTheme="minorEastAsia" w:cstheme="minorEastAsia" w:hint="eastAsia"/>
                <w:color w:val="auto"/>
              </w:rPr>
              <w:t>”</w:t>
            </w:r>
            <w:r>
              <w:rPr>
                <w:rStyle w:val="font01"/>
                <w:rFonts w:asciiTheme="minorEastAsia" w:eastAsiaTheme="minorEastAsia" w:hAnsiTheme="minorEastAsia" w:cstheme="minorEastAsia" w:hint="eastAsia"/>
                <w:color w:val="auto"/>
              </w:rPr>
              <w:t>创建工作作为重点内容纳入市政府年度绩效和政绩考核体系</w:t>
            </w:r>
          </w:p>
        </w:tc>
        <w:tc>
          <w:tcPr>
            <w:tcW w:w="7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市委组织部、市人力资源和社会保障局</w:t>
            </w:r>
          </w:p>
        </w:tc>
        <w:tc>
          <w:tcPr>
            <w:tcW w:w="368" w:type="pct"/>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widowControl/>
              <w:jc w:val="center"/>
              <w:textAlignment w:val="center"/>
              <w:rPr>
                <w:rFonts w:asciiTheme="minorEastAsia" w:hAnsiTheme="minorEastAsia" w:cstheme="minorEastAsia"/>
                <w:kern w:val="0"/>
                <w:sz w:val="22"/>
              </w:rPr>
            </w:pPr>
          </w:p>
        </w:tc>
        <w:tc>
          <w:tcPr>
            <w:tcW w:w="5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Style w:val="font01"/>
                <w:rFonts w:asciiTheme="minorEastAsia" w:eastAsiaTheme="minorEastAsia" w:hAnsiTheme="minorEastAsia" w:cstheme="minorEastAsia" w:hint="eastAsia"/>
                <w:color w:val="auto"/>
              </w:rPr>
              <w:t>完成</w:t>
            </w:r>
            <w:r>
              <w:rPr>
                <w:rStyle w:val="font11"/>
                <w:rFonts w:asciiTheme="minorEastAsia" w:hAnsiTheme="minorEastAsia" w:cstheme="minorEastAsia" w:hint="eastAsia"/>
                <w:color w:val="auto"/>
              </w:rPr>
              <w:t>“</w:t>
            </w:r>
            <w:r>
              <w:rPr>
                <w:rStyle w:val="font01"/>
                <w:rFonts w:asciiTheme="minorEastAsia" w:eastAsiaTheme="minorEastAsia" w:hAnsiTheme="minorEastAsia" w:cstheme="minorEastAsia" w:hint="eastAsia"/>
                <w:color w:val="auto"/>
              </w:rPr>
              <w:t>无废城市</w:t>
            </w:r>
            <w:r>
              <w:rPr>
                <w:rStyle w:val="font11"/>
                <w:rFonts w:asciiTheme="minorEastAsia" w:hAnsiTheme="minorEastAsia" w:cstheme="minorEastAsia" w:hint="eastAsia"/>
                <w:color w:val="auto"/>
              </w:rPr>
              <w:t>”</w:t>
            </w:r>
            <w:r>
              <w:rPr>
                <w:rStyle w:val="font01"/>
                <w:rFonts w:asciiTheme="minorEastAsia" w:eastAsiaTheme="minorEastAsia" w:hAnsiTheme="minorEastAsia" w:cstheme="minorEastAsia" w:hint="eastAsia"/>
                <w:color w:val="auto"/>
              </w:rPr>
              <w:t>绩效考核方案</w:t>
            </w:r>
          </w:p>
        </w:tc>
        <w:tc>
          <w:tcPr>
            <w:tcW w:w="7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ind w:firstLineChars="400" w:firstLine="880"/>
              <w:jc w:val="left"/>
              <w:textAlignment w:val="center"/>
              <w:rPr>
                <w:rFonts w:asciiTheme="minorEastAsia" w:hAnsiTheme="minorEastAsia" w:cstheme="minorEastAsia"/>
                <w:sz w:val="22"/>
              </w:rPr>
            </w:pPr>
            <w:r>
              <w:rPr>
                <w:rFonts w:asciiTheme="minorEastAsia" w:hAnsiTheme="minorEastAsia" w:cstheme="minorEastAsia" w:hint="eastAsia"/>
                <w:kern w:val="0"/>
                <w:sz w:val="22"/>
              </w:rPr>
              <w:t>落实</w:t>
            </w:r>
          </w:p>
        </w:tc>
      </w:tr>
      <w:tr w:rsidR="005A1ADB">
        <w:trPr>
          <w:cantSplit/>
          <w:trHeight w:val="300"/>
        </w:trPr>
        <w:tc>
          <w:tcPr>
            <w:tcW w:w="4933" w:type="pct"/>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b/>
                <w:sz w:val="22"/>
              </w:rPr>
            </w:pPr>
            <w:r>
              <w:rPr>
                <w:rStyle w:val="font01"/>
                <w:rFonts w:asciiTheme="minorEastAsia" w:eastAsiaTheme="minorEastAsia" w:hAnsiTheme="minorEastAsia" w:cstheme="minorEastAsia" w:hint="eastAsia"/>
                <w:b/>
                <w:color w:val="auto"/>
                <w:sz w:val="19"/>
                <w:szCs w:val="19"/>
                <w:shd w:val="clear" w:color="auto" w:fill="FFFFFF"/>
              </w:rPr>
              <w:t>Ⅰ</w:t>
            </w:r>
            <w:r>
              <w:rPr>
                <w:rStyle w:val="font01"/>
                <w:rFonts w:asciiTheme="minorEastAsia" w:hAnsiTheme="minorEastAsia" w:cstheme="minorEastAsia" w:hint="eastAsia"/>
                <w:b/>
                <w:color w:val="auto"/>
                <w:sz w:val="19"/>
                <w:szCs w:val="19"/>
                <w:shd w:val="clear" w:color="auto" w:fill="FFFFFF"/>
              </w:rPr>
              <w:t>-2</w:t>
            </w:r>
            <w:r>
              <w:rPr>
                <w:rStyle w:val="font01"/>
                <w:rFonts w:asciiTheme="minorEastAsia" w:eastAsiaTheme="minorEastAsia" w:hAnsiTheme="minorEastAsia" w:cstheme="minorEastAsia" w:hint="eastAsia"/>
                <w:b/>
                <w:color w:val="auto"/>
                <w:sz w:val="19"/>
                <w:szCs w:val="19"/>
                <w:shd w:val="clear" w:color="auto" w:fill="FFFFFF"/>
              </w:rPr>
              <w:t xml:space="preserve"> </w:t>
            </w:r>
            <w:r>
              <w:rPr>
                <w:rStyle w:val="font01"/>
                <w:rFonts w:asciiTheme="minorEastAsia" w:eastAsiaTheme="minorEastAsia" w:hAnsiTheme="minorEastAsia" w:cstheme="minorEastAsia" w:hint="eastAsia"/>
                <w:b/>
                <w:color w:val="auto"/>
              </w:rPr>
              <w:t>完善地方政府或部门相关文件</w:t>
            </w:r>
          </w:p>
        </w:tc>
      </w:tr>
      <w:tr w:rsidR="005A1ADB">
        <w:trPr>
          <w:cantSplit/>
          <w:trHeight w:val="1088"/>
        </w:trPr>
        <w:tc>
          <w:tcPr>
            <w:tcW w:w="304"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1</w:t>
            </w:r>
          </w:p>
        </w:tc>
        <w:tc>
          <w:tcPr>
            <w:tcW w:w="119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sz w:val="22"/>
              </w:rPr>
              <w:t>修订完善《长春市生态环境保护工作责任规定》</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sz w:val="22"/>
              </w:rPr>
              <w:t>形成生态环境保护职责分工，明确固体废物监督管理和综合利用处置责任</w:t>
            </w:r>
          </w:p>
        </w:tc>
        <w:tc>
          <w:tcPr>
            <w:tcW w:w="661" w:type="pct"/>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市生态环境局</w:t>
            </w:r>
          </w:p>
        </w:tc>
        <w:tc>
          <w:tcPr>
            <w:tcW w:w="426"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落实</w:t>
            </w:r>
          </w:p>
        </w:tc>
        <w:tc>
          <w:tcPr>
            <w:tcW w:w="7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ind w:firstLineChars="400" w:firstLine="880"/>
              <w:jc w:val="left"/>
              <w:textAlignment w:val="center"/>
              <w:rPr>
                <w:rFonts w:asciiTheme="minorEastAsia" w:hAnsiTheme="minorEastAsia" w:cstheme="minorEastAsia"/>
                <w:sz w:val="22"/>
              </w:rPr>
            </w:pPr>
            <w:r>
              <w:rPr>
                <w:rFonts w:asciiTheme="minorEastAsia" w:hAnsiTheme="minorEastAsia" w:cstheme="minorEastAsia" w:hint="eastAsia"/>
                <w:sz w:val="22"/>
              </w:rPr>
              <w:t>落实</w:t>
            </w:r>
          </w:p>
        </w:tc>
      </w:tr>
    </w:tbl>
    <w:p w:rsidR="005A1ADB" w:rsidRDefault="005A1ADB"/>
    <w:tbl>
      <w:tblPr>
        <w:tblW w:w="4995" w:type="pct"/>
        <w:tblInd w:w="-2"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0" w:type="dxa"/>
          <w:right w:w="0" w:type="dxa"/>
        </w:tblCellMar>
        <w:tblLook w:val="04A0"/>
      </w:tblPr>
      <w:tblGrid>
        <w:gridCol w:w="1077"/>
        <w:gridCol w:w="2314"/>
        <w:gridCol w:w="1073"/>
        <w:gridCol w:w="8"/>
        <w:gridCol w:w="1777"/>
        <w:gridCol w:w="1070"/>
        <w:gridCol w:w="6"/>
        <w:gridCol w:w="721"/>
        <w:gridCol w:w="1082"/>
        <w:gridCol w:w="59"/>
        <w:gridCol w:w="1068"/>
        <w:gridCol w:w="14"/>
        <w:gridCol w:w="1492"/>
        <w:gridCol w:w="1098"/>
        <w:gridCol w:w="1093"/>
        <w:gridCol w:w="22"/>
      </w:tblGrid>
      <w:tr w:rsidR="005A1ADB">
        <w:trPr>
          <w:cantSplit/>
          <w:trHeight w:val="1088"/>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lastRenderedPageBreak/>
              <w:t>2</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完善一般工业固废统计登记，引导企业申报固体废物信息</w:t>
            </w:r>
          </w:p>
        </w:tc>
        <w:tc>
          <w:tcPr>
            <w:tcW w:w="1024" w:type="pct"/>
            <w:gridSpan w:val="4"/>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明确产生量底数，为综合利用率等相关指标计算提供依据</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kern w:val="0"/>
                <w:sz w:val="22"/>
              </w:rPr>
            </w:pPr>
            <w:r>
              <w:rPr>
                <w:rFonts w:asciiTheme="minorEastAsia" w:hAnsiTheme="minorEastAsia" w:cstheme="minorEastAsia" w:hint="eastAsia"/>
                <w:kern w:val="0"/>
                <w:sz w:val="22"/>
              </w:rPr>
              <w:t>市生态环境局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落实</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ind w:firstLineChars="400" w:firstLine="880"/>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落实</w:t>
            </w:r>
          </w:p>
        </w:tc>
      </w:tr>
      <w:tr w:rsidR="005A1ADB">
        <w:trPr>
          <w:cantSplit/>
          <w:trHeight w:val="1565"/>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3</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完善农业废弃物统计登记，针对秸秆、畜禽粪污、废旧农膜、农药包装废弃物建立完善的统计方法</w:t>
            </w:r>
          </w:p>
        </w:tc>
        <w:tc>
          <w:tcPr>
            <w:tcW w:w="1024" w:type="pct"/>
            <w:gridSpan w:val="4"/>
            <w:vMerge/>
            <w:tcBorders>
              <w:left w:val="single" w:sz="4" w:space="0" w:color="000000"/>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sz w:val="22"/>
              </w:rPr>
            </w:pP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市畜牧局</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建立完善统计台账</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ind w:firstLineChars="400" w:firstLine="880"/>
              <w:jc w:val="left"/>
              <w:textAlignment w:val="center"/>
              <w:rPr>
                <w:rFonts w:asciiTheme="minorEastAsia" w:hAnsiTheme="minorEastAsia" w:cstheme="minorEastAsia"/>
                <w:sz w:val="22"/>
              </w:rPr>
            </w:pPr>
            <w:r>
              <w:rPr>
                <w:rFonts w:asciiTheme="minorEastAsia" w:hAnsiTheme="minorEastAsia" w:cstheme="minorEastAsia" w:hint="eastAsia"/>
                <w:kern w:val="0"/>
                <w:sz w:val="22"/>
              </w:rPr>
              <w:t>落实</w:t>
            </w:r>
          </w:p>
        </w:tc>
      </w:tr>
      <w:tr w:rsidR="005A1ADB">
        <w:trPr>
          <w:cantSplit/>
          <w:trHeight w:val="858"/>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4</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完善建筑垃圾分类统计登记</w:t>
            </w:r>
          </w:p>
        </w:tc>
        <w:tc>
          <w:tcPr>
            <w:tcW w:w="1024" w:type="pct"/>
            <w:gridSpan w:val="4"/>
            <w:vMerge/>
            <w:tcBorders>
              <w:left w:val="single" w:sz="4" w:space="0" w:color="000000"/>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sz w:val="22"/>
              </w:rPr>
            </w:pP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市城市管理局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widowControl/>
              <w:jc w:val="center"/>
              <w:textAlignment w:val="center"/>
              <w:rPr>
                <w:rFonts w:asciiTheme="minorEastAsia" w:hAnsiTheme="minorEastAsia" w:cstheme="minorEastAsia"/>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建立完善统计登记台账</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ind w:firstLineChars="400" w:firstLine="880"/>
              <w:jc w:val="left"/>
              <w:textAlignment w:val="center"/>
              <w:rPr>
                <w:rFonts w:asciiTheme="minorEastAsia" w:hAnsiTheme="minorEastAsia" w:cstheme="minorEastAsia"/>
                <w:sz w:val="22"/>
              </w:rPr>
            </w:pPr>
            <w:r>
              <w:rPr>
                <w:rFonts w:asciiTheme="minorEastAsia" w:hAnsiTheme="minorEastAsia" w:cstheme="minorEastAsia" w:hint="eastAsia"/>
                <w:kern w:val="0"/>
                <w:sz w:val="22"/>
              </w:rPr>
              <w:t>落实</w:t>
            </w:r>
          </w:p>
        </w:tc>
      </w:tr>
      <w:tr w:rsidR="005A1ADB">
        <w:trPr>
          <w:cantSplit/>
          <w:trHeight w:val="858"/>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5</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完善危险</w:t>
            </w:r>
            <w:r>
              <w:rPr>
                <w:rFonts w:asciiTheme="minorEastAsia" w:hAnsiTheme="minorEastAsia" w:cstheme="minorEastAsia" w:hint="eastAsia"/>
                <w:kern w:val="0"/>
                <w:sz w:val="22"/>
              </w:rPr>
              <w:t>废物统计登记，严格经营许可证档案管理</w:t>
            </w:r>
          </w:p>
        </w:tc>
        <w:tc>
          <w:tcPr>
            <w:tcW w:w="1024" w:type="pct"/>
            <w:gridSpan w:val="4"/>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kern w:val="0"/>
                <w:sz w:val="22"/>
              </w:rPr>
            </w:pP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kern w:val="0"/>
                <w:sz w:val="22"/>
              </w:rPr>
            </w:pPr>
            <w:r>
              <w:rPr>
                <w:rFonts w:asciiTheme="minorEastAsia" w:hAnsiTheme="minorEastAsia" w:cstheme="minorEastAsia" w:hint="eastAsia"/>
                <w:kern w:val="0"/>
                <w:sz w:val="22"/>
              </w:rPr>
              <w:t>市生态环境局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落实</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ind w:firstLineChars="400" w:firstLine="880"/>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落实</w:t>
            </w:r>
          </w:p>
        </w:tc>
      </w:tr>
      <w:tr w:rsidR="005A1ADB">
        <w:trPr>
          <w:cantSplit/>
          <w:trHeight w:val="1803"/>
        </w:trPr>
        <w:tc>
          <w:tcPr>
            <w:tcW w:w="385" w:type="pc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6</w:t>
            </w:r>
          </w:p>
        </w:tc>
        <w:tc>
          <w:tcPr>
            <w:tcW w:w="1212"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sz w:val="22"/>
              </w:rPr>
              <w:t>深化各类固体废物综合治理改革，完善生活垃圾、建筑垃圾、一般工业固体废物、危险废物、城镇生活污水处理厂污泥、农业废弃物等各类固体废物管理制度</w:t>
            </w:r>
          </w:p>
        </w:tc>
        <w:tc>
          <w:tcPr>
            <w:tcW w:w="1024" w:type="pct"/>
            <w:gridSpan w:val="4"/>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sz w:val="22"/>
              </w:rPr>
              <w:t>细化和完善各类固体废物管理制度</w:t>
            </w:r>
          </w:p>
        </w:tc>
        <w:tc>
          <w:tcPr>
            <w:tcW w:w="645" w:type="pct"/>
            <w:gridSpan w:val="2"/>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市生态环境局、</w:t>
            </w:r>
            <w:r>
              <w:rPr>
                <w:rFonts w:asciiTheme="minorEastAsia" w:hAnsiTheme="minorEastAsia" w:cstheme="minorEastAsia" w:hint="eastAsia"/>
                <w:sz w:val="22"/>
              </w:rPr>
              <w:t>市城市管理局、</w:t>
            </w:r>
            <w:r>
              <w:rPr>
                <w:rFonts w:asciiTheme="minorEastAsia" w:hAnsiTheme="minorEastAsia" w:cstheme="minorEastAsia" w:hint="eastAsia"/>
                <w:kern w:val="0"/>
                <w:sz w:val="22"/>
              </w:rPr>
              <w:t>市农业农村局、市卫健委、市城乡建设委员会等</w:t>
            </w:r>
          </w:p>
        </w:tc>
        <w:tc>
          <w:tcPr>
            <w:tcW w:w="403" w:type="pct"/>
            <w:gridSpan w:val="2"/>
            <w:tcBorders>
              <w:top w:val="single" w:sz="4" w:space="0" w:color="000000"/>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539"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落实</w:t>
            </w:r>
          </w:p>
        </w:tc>
        <w:tc>
          <w:tcPr>
            <w:tcW w:w="789" w:type="pct"/>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ind w:firstLineChars="300" w:firstLine="660"/>
              <w:jc w:val="left"/>
              <w:textAlignment w:val="center"/>
              <w:rPr>
                <w:rFonts w:asciiTheme="minorEastAsia" w:hAnsiTheme="minorEastAsia" w:cstheme="minorEastAsia"/>
                <w:sz w:val="22"/>
              </w:rPr>
            </w:pPr>
            <w:r>
              <w:rPr>
                <w:rFonts w:asciiTheme="minorEastAsia" w:hAnsiTheme="minorEastAsia" w:cstheme="minorEastAsia" w:hint="eastAsia"/>
                <w:kern w:val="0"/>
                <w:sz w:val="22"/>
              </w:rPr>
              <w:t>落实</w:t>
            </w:r>
          </w:p>
        </w:tc>
      </w:tr>
      <w:tr w:rsidR="005A1ADB">
        <w:trPr>
          <w:cantSplit/>
          <w:trHeight w:val="1125"/>
        </w:trPr>
        <w:tc>
          <w:tcPr>
            <w:tcW w:w="385" w:type="pc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7</w:t>
            </w:r>
          </w:p>
        </w:tc>
        <w:tc>
          <w:tcPr>
            <w:tcW w:w="1212"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制定规范生活垃圾分类工作的政府文件，并出台技术指导与示范</w:t>
            </w:r>
          </w:p>
        </w:tc>
        <w:tc>
          <w:tcPr>
            <w:tcW w:w="1024" w:type="pct"/>
            <w:gridSpan w:val="4"/>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进一步规范相关文件并获得实际成效</w:t>
            </w:r>
          </w:p>
        </w:tc>
        <w:tc>
          <w:tcPr>
            <w:tcW w:w="645" w:type="pct"/>
            <w:gridSpan w:val="2"/>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sz w:val="22"/>
              </w:rPr>
              <w:t>市城市管理局</w:t>
            </w:r>
          </w:p>
        </w:tc>
        <w:tc>
          <w:tcPr>
            <w:tcW w:w="403" w:type="pct"/>
            <w:gridSpan w:val="2"/>
            <w:tcBorders>
              <w:top w:val="single" w:sz="4" w:space="0" w:color="000000"/>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539"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落实</w:t>
            </w:r>
          </w:p>
        </w:tc>
        <w:tc>
          <w:tcPr>
            <w:tcW w:w="789" w:type="pct"/>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ind w:firstLineChars="300" w:firstLine="660"/>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落实</w:t>
            </w:r>
          </w:p>
        </w:tc>
      </w:tr>
      <w:tr w:rsidR="005A1ADB">
        <w:trPr>
          <w:cantSplit/>
          <w:trHeight w:val="1125"/>
        </w:trPr>
        <w:tc>
          <w:tcPr>
            <w:tcW w:w="385" w:type="pc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lastRenderedPageBreak/>
              <w:t>8</w:t>
            </w:r>
          </w:p>
        </w:tc>
        <w:tc>
          <w:tcPr>
            <w:tcW w:w="1212"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kern w:val="0"/>
                <w:sz w:val="22"/>
              </w:rPr>
            </w:pPr>
            <w:r>
              <w:rPr>
                <w:kern w:val="0"/>
                <w:sz w:val="22"/>
              </w:rPr>
              <w:t>修订《</w:t>
            </w:r>
            <w:r>
              <w:rPr>
                <w:rFonts w:hint="eastAsia"/>
                <w:kern w:val="0"/>
                <w:sz w:val="22"/>
              </w:rPr>
              <w:t>长春</w:t>
            </w:r>
            <w:r>
              <w:rPr>
                <w:kern w:val="0"/>
                <w:sz w:val="22"/>
              </w:rPr>
              <w:t>市收取城市生活垃圾处理费实施细则》</w:t>
            </w:r>
          </w:p>
        </w:tc>
        <w:tc>
          <w:tcPr>
            <w:tcW w:w="1024" w:type="pct"/>
            <w:gridSpan w:val="4"/>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hint="eastAsia"/>
                <w:kern w:val="0"/>
                <w:sz w:val="22"/>
              </w:rPr>
              <w:t>探索</w:t>
            </w:r>
            <w:r>
              <w:rPr>
                <w:kern w:val="0"/>
                <w:sz w:val="22"/>
              </w:rPr>
              <w:t>推进生活垃圾计量收费</w:t>
            </w:r>
          </w:p>
        </w:tc>
        <w:tc>
          <w:tcPr>
            <w:tcW w:w="645" w:type="pct"/>
            <w:gridSpan w:val="2"/>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sz w:val="22"/>
              </w:rPr>
              <w:t>市发改委、市财政</w:t>
            </w:r>
            <w:r>
              <w:rPr>
                <w:rFonts w:asciiTheme="minorEastAsia" w:hAnsiTheme="minorEastAsia" w:cstheme="minorEastAsia" w:hint="eastAsia"/>
                <w:sz w:val="22"/>
              </w:rPr>
              <w:t xml:space="preserve"> </w:t>
            </w:r>
            <w:r>
              <w:rPr>
                <w:rFonts w:asciiTheme="minorEastAsia" w:hAnsiTheme="minorEastAsia" w:cstheme="minorEastAsia" w:hint="eastAsia"/>
                <w:sz w:val="22"/>
              </w:rPr>
              <w:t>局、市税务局、市城市管理局</w:t>
            </w:r>
          </w:p>
        </w:tc>
        <w:tc>
          <w:tcPr>
            <w:tcW w:w="403" w:type="pct"/>
            <w:gridSpan w:val="2"/>
            <w:tcBorders>
              <w:top w:val="single" w:sz="4" w:space="0" w:color="000000"/>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539"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完成编制</w:t>
            </w:r>
          </w:p>
        </w:tc>
        <w:tc>
          <w:tcPr>
            <w:tcW w:w="789" w:type="pct"/>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ind w:firstLineChars="300" w:firstLine="660"/>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落实</w:t>
            </w:r>
          </w:p>
        </w:tc>
      </w:tr>
      <w:tr w:rsidR="005A1ADB">
        <w:trPr>
          <w:cantSplit/>
          <w:trHeight w:val="674"/>
        </w:trPr>
        <w:tc>
          <w:tcPr>
            <w:tcW w:w="385" w:type="pct"/>
            <w:vMerge w:val="restart"/>
            <w:tcBorders>
              <w:top w:val="single" w:sz="4" w:space="0" w:color="auto"/>
              <w:left w:val="single" w:sz="4" w:space="0" w:color="auto"/>
              <w:bottom w:val="nil"/>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9</w:t>
            </w:r>
          </w:p>
        </w:tc>
        <w:tc>
          <w:tcPr>
            <w:tcW w:w="1212" w:type="pct"/>
            <w:gridSpan w:val="2"/>
            <w:vMerge w:val="restart"/>
            <w:tcBorders>
              <w:top w:val="single" w:sz="4" w:space="0" w:color="auto"/>
              <w:left w:val="single" w:sz="4" w:space="0" w:color="auto"/>
              <w:bottom w:val="nil"/>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完善秸秆管理制度，修订《长春市农作物秸秆露天禁烧和综合利用管理条例》，落实秸秆还田工作责任主体，建立回收补贴机制，落实秸秆综合利用配套政策</w:t>
            </w:r>
          </w:p>
        </w:tc>
        <w:tc>
          <w:tcPr>
            <w:tcW w:w="1024" w:type="pct"/>
            <w:gridSpan w:val="4"/>
            <w:vMerge w:val="restart"/>
            <w:tcBorders>
              <w:top w:val="single" w:sz="4" w:space="0" w:color="auto"/>
              <w:left w:val="single" w:sz="4" w:space="0" w:color="auto"/>
              <w:bottom w:val="nil"/>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解决秸秆留茬带来的焚烧问题，推动秸秆燃料化和基料化高值化利用</w:t>
            </w:r>
          </w:p>
        </w:tc>
        <w:tc>
          <w:tcPr>
            <w:tcW w:w="645" w:type="pct"/>
            <w:gridSpan w:val="2"/>
            <w:tcBorders>
              <w:top w:val="single" w:sz="4" w:space="0" w:color="auto"/>
              <w:left w:val="single" w:sz="4" w:space="0" w:color="auto"/>
              <w:bottom w:val="nil"/>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3" w:type="pct"/>
            <w:gridSpan w:val="2"/>
            <w:vMerge w:val="restart"/>
            <w:tcBorders>
              <w:top w:val="single" w:sz="4" w:space="0" w:color="auto"/>
              <w:left w:val="single" w:sz="4" w:space="0" w:color="auto"/>
              <w:bottom w:val="nil"/>
              <w:right w:val="single" w:sz="4" w:space="0" w:color="auto"/>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vMerge w:val="restart"/>
            <w:tcBorders>
              <w:top w:val="single" w:sz="4" w:space="0" w:color="auto"/>
              <w:left w:val="single" w:sz="4" w:space="0" w:color="auto"/>
              <w:bottom w:val="nil"/>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完成编制，严格落实工作责任主体</w:t>
            </w:r>
          </w:p>
        </w:tc>
        <w:tc>
          <w:tcPr>
            <w:tcW w:w="789" w:type="pct"/>
            <w:gridSpan w:val="3"/>
            <w:vMerge w:val="restart"/>
            <w:tcBorders>
              <w:top w:val="single" w:sz="4" w:space="0" w:color="auto"/>
              <w:left w:val="single" w:sz="4" w:space="0" w:color="auto"/>
              <w:bottom w:val="nil"/>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探索建立回收补贴机制，研究制定秸秆综合利用配套政策</w:t>
            </w:r>
          </w:p>
        </w:tc>
      </w:tr>
      <w:tr w:rsidR="005A1ADB">
        <w:trPr>
          <w:cantSplit/>
          <w:trHeight w:val="857"/>
        </w:trPr>
        <w:tc>
          <w:tcPr>
            <w:tcW w:w="385" w:type="pct"/>
            <w:vMerge/>
            <w:tcBorders>
              <w:top w:val="nil"/>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widowControl/>
              <w:jc w:val="center"/>
              <w:textAlignment w:val="center"/>
              <w:rPr>
                <w:rFonts w:asciiTheme="minorEastAsia" w:hAnsiTheme="minorEastAsia" w:cstheme="minorEastAsia"/>
                <w:sz w:val="22"/>
              </w:rPr>
            </w:pPr>
          </w:p>
        </w:tc>
        <w:tc>
          <w:tcPr>
            <w:tcW w:w="1212" w:type="pct"/>
            <w:gridSpan w:val="2"/>
            <w:vMerge/>
            <w:tcBorders>
              <w:top w:val="nil"/>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widowControl/>
              <w:jc w:val="left"/>
              <w:textAlignment w:val="center"/>
              <w:rPr>
                <w:rFonts w:asciiTheme="minorEastAsia" w:hAnsiTheme="minorEastAsia" w:cstheme="minorEastAsia"/>
                <w:kern w:val="0"/>
                <w:sz w:val="22"/>
              </w:rPr>
            </w:pPr>
          </w:p>
        </w:tc>
        <w:tc>
          <w:tcPr>
            <w:tcW w:w="1024" w:type="pct"/>
            <w:gridSpan w:val="4"/>
            <w:vMerge/>
            <w:tcBorders>
              <w:top w:val="nil"/>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widowControl/>
              <w:jc w:val="left"/>
              <w:textAlignment w:val="center"/>
              <w:rPr>
                <w:rFonts w:asciiTheme="minorEastAsia" w:hAnsiTheme="minorEastAsia" w:cstheme="minorEastAsia"/>
                <w:kern w:val="0"/>
                <w:sz w:val="22"/>
              </w:rPr>
            </w:pPr>
          </w:p>
        </w:tc>
        <w:tc>
          <w:tcPr>
            <w:tcW w:w="645" w:type="pct"/>
            <w:gridSpan w:val="2"/>
            <w:tcBorders>
              <w:top w:val="nil"/>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市生态环境局</w:t>
            </w:r>
          </w:p>
        </w:tc>
        <w:tc>
          <w:tcPr>
            <w:tcW w:w="403" w:type="pct"/>
            <w:gridSpan w:val="2"/>
            <w:vMerge/>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vMerge/>
            <w:tcBorders>
              <w:top w:val="nil"/>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widowControl/>
              <w:jc w:val="left"/>
              <w:textAlignment w:val="center"/>
              <w:rPr>
                <w:rFonts w:asciiTheme="minorEastAsia" w:hAnsiTheme="minorEastAsia" w:cstheme="minorEastAsia"/>
                <w:kern w:val="0"/>
                <w:sz w:val="22"/>
              </w:rPr>
            </w:pPr>
          </w:p>
        </w:tc>
        <w:tc>
          <w:tcPr>
            <w:tcW w:w="789" w:type="pct"/>
            <w:gridSpan w:val="3"/>
            <w:vMerge/>
            <w:tcBorders>
              <w:top w:val="nil"/>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5A1ADB" w:rsidRDefault="005A1ADB">
            <w:pPr>
              <w:widowControl/>
              <w:jc w:val="left"/>
              <w:textAlignment w:val="center"/>
              <w:rPr>
                <w:rFonts w:asciiTheme="minorEastAsia" w:hAnsiTheme="minorEastAsia" w:cstheme="minorEastAsia"/>
                <w:kern w:val="0"/>
                <w:sz w:val="22"/>
              </w:rPr>
            </w:pPr>
          </w:p>
        </w:tc>
      </w:tr>
      <w:tr w:rsidR="005A1ADB">
        <w:trPr>
          <w:cantSplit/>
          <w:trHeight w:val="1258"/>
        </w:trPr>
        <w:tc>
          <w:tcPr>
            <w:tcW w:w="385" w:type="pc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10</w:t>
            </w:r>
          </w:p>
        </w:tc>
        <w:tc>
          <w:tcPr>
            <w:tcW w:w="1212" w:type="pct"/>
            <w:gridSpan w:val="2"/>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建立规模养殖场和农资经销商合作等机制，推动有机肥替代化肥</w:t>
            </w:r>
          </w:p>
        </w:tc>
        <w:tc>
          <w:tcPr>
            <w:tcW w:w="1024" w:type="pct"/>
            <w:gridSpan w:val="4"/>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推动有机肥替代化肥，减少化肥使用量</w:t>
            </w:r>
          </w:p>
        </w:tc>
        <w:tc>
          <w:tcPr>
            <w:tcW w:w="645" w:type="pct"/>
            <w:gridSpan w:val="2"/>
            <w:tcBorders>
              <w:top w:val="single" w:sz="4" w:space="0" w:color="auto"/>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3" w:type="pct"/>
            <w:gridSpan w:val="2"/>
            <w:tcBorders>
              <w:top w:val="single" w:sz="4" w:space="0" w:color="auto"/>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Style w:val="font01"/>
                <w:rFonts w:asciiTheme="minorEastAsia" w:eastAsiaTheme="minorEastAsia" w:hAnsiTheme="minorEastAsia" w:cstheme="minorEastAsia" w:hint="eastAsia"/>
                <w:color w:val="auto"/>
              </w:rPr>
              <w:t>完成前期调研和工作方案制定</w:t>
            </w:r>
          </w:p>
        </w:tc>
        <w:tc>
          <w:tcPr>
            <w:tcW w:w="789" w:type="pct"/>
            <w:gridSpan w:val="3"/>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Style w:val="font01"/>
                <w:rFonts w:asciiTheme="minorEastAsia" w:eastAsiaTheme="minorEastAsia" w:hAnsiTheme="minorEastAsia" w:cstheme="minorEastAsia" w:hint="eastAsia"/>
                <w:color w:val="auto"/>
              </w:rPr>
              <w:t>开展规模养殖场和农资销售商试点建设</w:t>
            </w:r>
          </w:p>
        </w:tc>
      </w:tr>
      <w:tr w:rsidR="005A1ADB">
        <w:trPr>
          <w:cantSplit/>
          <w:trHeight w:val="930"/>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11</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建立农药销售许可等管理制度</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Style w:val="font01"/>
                <w:rFonts w:asciiTheme="minorEastAsia" w:eastAsiaTheme="minorEastAsia" w:hAnsiTheme="minorEastAsia" w:cstheme="minorEastAsia" w:hint="eastAsia"/>
                <w:color w:val="auto"/>
              </w:rPr>
              <w:t>控制农药等源头使用数量和质量</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Style w:val="font01"/>
                <w:rFonts w:asciiTheme="minorEastAsia" w:eastAsiaTheme="minorEastAsia" w:hAnsiTheme="minorEastAsia" w:cstheme="minorEastAsia" w:hint="eastAsia"/>
                <w:color w:val="auto"/>
              </w:rPr>
              <w:t>完成前期调研工作</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建立农药销售许可等管理制度</w:t>
            </w:r>
          </w:p>
        </w:tc>
      </w:tr>
      <w:tr w:rsidR="005A1ADB">
        <w:trPr>
          <w:cantSplit/>
          <w:trHeight w:val="1207"/>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12</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建立农药可追溯电子信息码标签制度等</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提高农药包装废弃物回收量，健全农药包装废弃物回收处理网络体系</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完成方案制定</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开展区域试点工作</w:t>
            </w:r>
          </w:p>
        </w:tc>
      </w:tr>
      <w:tr w:rsidR="005A1ADB">
        <w:trPr>
          <w:cantSplit/>
          <w:trHeight w:val="1305"/>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13</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建立危险废物排污许可管理制度，研究制定《长春市危险废物经营能力建设投资指导性公告》、《长春市“散小微”企业危险废物收集转运体系建设环境监督管理指南》</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加强全过程监管，提升风险防控精细化管理水平</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市生态环境局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Style w:val="font01"/>
                <w:rFonts w:asciiTheme="minorEastAsia" w:eastAsiaTheme="minorEastAsia" w:hAnsiTheme="minorEastAsia" w:cstheme="minorEastAsia"/>
                <w:color w:val="auto"/>
              </w:rPr>
            </w:pPr>
            <w:r>
              <w:rPr>
                <w:rStyle w:val="font01"/>
                <w:rFonts w:asciiTheme="minorEastAsia" w:eastAsiaTheme="minorEastAsia" w:hAnsiTheme="minorEastAsia" w:cstheme="minorEastAsia" w:hint="eastAsia"/>
                <w:color w:val="auto"/>
              </w:rPr>
              <w:t>形成</w:t>
            </w:r>
          </w:p>
          <w:p w:rsidR="005A1ADB" w:rsidRDefault="000B6ECF">
            <w:pPr>
              <w:widowControl/>
              <w:jc w:val="center"/>
              <w:textAlignment w:val="center"/>
              <w:rPr>
                <w:rFonts w:asciiTheme="minorEastAsia" w:hAnsiTheme="minorEastAsia" w:cstheme="minorEastAsia"/>
                <w:sz w:val="22"/>
              </w:rPr>
            </w:pPr>
            <w:r>
              <w:rPr>
                <w:rStyle w:val="font01"/>
                <w:rFonts w:asciiTheme="minorEastAsia" w:eastAsiaTheme="minorEastAsia" w:hAnsiTheme="minorEastAsia" w:cstheme="minorEastAsia" w:hint="eastAsia"/>
                <w:color w:val="auto"/>
              </w:rPr>
              <w:t>管理制度</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试行危废排污许可管理制度</w:t>
            </w:r>
          </w:p>
        </w:tc>
      </w:tr>
      <w:tr w:rsidR="005A1ADB">
        <w:trPr>
          <w:cantSplit/>
          <w:trHeight w:val="1305"/>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lastRenderedPageBreak/>
              <w:t>14</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制定《长春市城镇生活污水处理厂污泥处理处置管理办法》</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加强对长春市城镇生活污水处理厂污泥处理处置工作规范化管理，预防和减少污泥二次污染，促进污泥的资源化利用</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kern w:val="0"/>
                <w:sz w:val="22"/>
              </w:rPr>
            </w:pPr>
            <w:r>
              <w:rPr>
                <w:rFonts w:asciiTheme="minorEastAsia" w:hAnsiTheme="minorEastAsia" w:cstheme="minorEastAsia" w:hint="eastAsia"/>
                <w:sz w:val="22"/>
              </w:rPr>
              <w:t>市城乡建设委员会</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Style w:val="font01"/>
                <w:rFonts w:asciiTheme="minorEastAsia" w:eastAsiaTheme="minorEastAsia" w:hAnsiTheme="minorEastAsia" w:cstheme="minorEastAsia"/>
                <w:color w:val="auto"/>
              </w:rPr>
            </w:pPr>
            <w:r>
              <w:rPr>
                <w:rFonts w:asciiTheme="minorEastAsia" w:hAnsiTheme="minorEastAsia" w:cstheme="minorEastAsia" w:hint="eastAsia"/>
                <w:kern w:val="0"/>
                <w:sz w:val="22"/>
              </w:rPr>
              <w:t>完成编制</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落实</w:t>
            </w:r>
          </w:p>
        </w:tc>
      </w:tr>
      <w:tr w:rsidR="005A1ADB">
        <w:trPr>
          <w:cantSplit/>
          <w:trHeight w:val="377"/>
        </w:trPr>
        <w:tc>
          <w:tcPr>
            <w:tcW w:w="5000" w:type="pct"/>
            <w:gridSpan w:val="16"/>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b/>
                <w:sz w:val="22"/>
              </w:rPr>
            </w:pPr>
            <w:r>
              <w:rPr>
                <w:rStyle w:val="font01"/>
                <w:rFonts w:asciiTheme="minorEastAsia" w:eastAsiaTheme="minorEastAsia" w:hAnsiTheme="minorEastAsia" w:cstheme="minorEastAsia" w:hint="eastAsia"/>
                <w:b/>
                <w:color w:val="auto"/>
                <w:sz w:val="19"/>
                <w:szCs w:val="19"/>
                <w:shd w:val="clear" w:color="auto" w:fill="FFFFFF"/>
              </w:rPr>
              <w:t>Ⅰ</w:t>
            </w:r>
            <w:r>
              <w:rPr>
                <w:rStyle w:val="font01"/>
                <w:rFonts w:asciiTheme="minorEastAsia" w:hAnsiTheme="minorEastAsia" w:cstheme="minorEastAsia" w:hint="eastAsia"/>
                <w:b/>
                <w:color w:val="auto"/>
                <w:sz w:val="19"/>
                <w:szCs w:val="19"/>
                <w:shd w:val="clear" w:color="auto" w:fill="FFFFFF"/>
              </w:rPr>
              <w:t>-3</w:t>
            </w:r>
            <w:r>
              <w:rPr>
                <w:rStyle w:val="font01"/>
                <w:rFonts w:asciiTheme="minorEastAsia" w:eastAsiaTheme="minorEastAsia" w:hAnsiTheme="minorEastAsia" w:cstheme="minorEastAsia" w:hint="eastAsia"/>
                <w:b/>
                <w:color w:val="auto"/>
                <w:sz w:val="19"/>
                <w:szCs w:val="19"/>
                <w:shd w:val="clear" w:color="auto" w:fill="FFFFFF"/>
              </w:rPr>
              <w:t xml:space="preserve"> </w:t>
            </w:r>
            <w:r>
              <w:rPr>
                <w:rStyle w:val="font01"/>
                <w:rFonts w:asciiTheme="minorEastAsia" w:eastAsiaTheme="minorEastAsia" w:hAnsiTheme="minorEastAsia" w:cstheme="minorEastAsia" w:hint="eastAsia"/>
                <w:b/>
                <w:color w:val="auto"/>
              </w:rPr>
              <w:t>完善固体废物专项管理措施</w:t>
            </w:r>
          </w:p>
        </w:tc>
      </w:tr>
      <w:tr w:rsidR="005A1ADB">
        <w:trPr>
          <w:cantSplit/>
          <w:trHeight w:val="90"/>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1</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重点针对工业企业，制定固体废物源头管控制度和核查制度</w:t>
            </w:r>
            <w:r>
              <w:rPr>
                <w:rFonts w:asciiTheme="minorEastAsia" w:hAnsiTheme="minorEastAsia" w:cstheme="minorEastAsia"/>
                <w:sz w:val="22"/>
              </w:rPr>
              <w:t xml:space="preserve"> </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促进末端处置管理向源头管控转变</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市生态环境局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初步完成管理制度和核查制度编制</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开始实行</w:t>
            </w:r>
          </w:p>
        </w:tc>
      </w:tr>
      <w:tr w:rsidR="005A1ADB">
        <w:trPr>
          <w:cantSplit/>
          <w:trHeight w:val="90"/>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2</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淘汰落后产能，推进清洁生产审核和评价</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优化产业结构，促进工业生产减污降碳</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kern w:val="0"/>
                <w:sz w:val="22"/>
              </w:rPr>
            </w:pPr>
            <w:r>
              <w:rPr>
                <w:rFonts w:asciiTheme="minorEastAsia" w:hAnsiTheme="minorEastAsia" w:cstheme="minorEastAsia" w:hint="eastAsia"/>
                <w:kern w:val="0"/>
                <w:sz w:val="22"/>
              </w:rPr>
              <w:t>市工信局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启动编制</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试点实行</w:t>
            </w:r>
          </w:p>
        </w:tc>
      </w:tr>
      <w:tr w:rsidR="005A1ADB">
        <w:trPr>
          <w:cantSplit/>
          <w:trHeight w:val="758"/>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3</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开展工业固体废物资源综合利用评价</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摸清固体废物综合利用现状，探索研究多元化利用方式，制定针对性减量化措施</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kern w:val="0"/>
                <w:sz w:val="22"/>
              </w:rPr>
            </w:pPr>
            <w:r>
              <w:rPr>
                <w:rFonts w:asciiTheme="minorEastAsia" w:hAnsiTheme="minorEastAsia" w:cstheme="minorEastAsia" w:hint="eastAsia"/>
                <w:kern w:val="0"/>
                <w:sz w:val="22"/>
              </w:rPr>
              <w:t>市工信局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Style w:val="font01"/>
                <w:rFonts w:asciiTheme="minorEastAsia" w:eastAsiaTheme="minorEastAsia" w:hAnsiTheme="minorEastAsia" w:cstheme="minorEastAsia" w:hint="eastAsia"/>
                <w:color w:val="auto"/>
              </w:rPr>
              <w:t>完成前期调研工作</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试点实行</w:t>
            </w:r>
          </w:p>
        </w:tc>
      </w:tr>
      <w:tr w:rsidR="005A1ADB">
        <w:trPr>
          <w:cantSplit/>
          <w:trHeight w:val="1254"/>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4</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建立建设单位以及环境影响评价机构诚信档案、违规违法惩戒和黑名单制度，对违法人员实施行业禁入</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提升环境违法成本</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市生态环境局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启动编制</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开始实行</w:t>
            </w:r>
          </w:p>
        </w:tc>
      </w:tr>
      <w:tr w:rsidR="005A1ADB">
        <w:trPr>
          <w:cantSplit/>
          <w:trHeight w:val="2285"/>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5</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建立信息公开制度，完善固体废物违法案件信访举报渠道，大力推行固体废物违法有奖举报制度</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营造执法高压态势，震慑环境犯罪分子，切实保障固体废物环境安全</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市生态环境局</w:t>
            </w:r>
          </w:p>
        </w:tc>
        <w:tc>
          <w:tcPr>
            <w:tcW w:w="403" w:type="pct"/>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建立信息公开制度，完善信访举报渠道</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ind w:firstLineChars="400" w:firstLine="880"/>
              <w:jc w:val="left"/>
              <w:textAlignment w:val="center"/>
              <w:rPr>
                <w:rFonts w:asciiTheme="minorEastAsia" w:hAnsiTheme="minorEastAsia" w:cstheme="minorEastAsia"/>
                <w:sz w:val="22"/>
              </w:rPr>
            </w:pPr>
            <w:r>
              <w:rPr>
                <w:rFonts w:asciiTheme="minorEastAsia" w:hAnsiTheme="minorEastAsia" w:cstheme="minorEastAsia" w:hint="eastAsia"/>
                <w:sz w:val="22"/>
              </w:rPr>
              <w:t>开始实施</w:t>
            </w:r>
          </w:p>
        </w:tc>
      </w:tr>
      <w:tr w:rsidR="005A1ADB">
        <w:trPr>
          <w:cantSplit/>
          <w:trHeight w:val="30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b/>
                <w:sz w:val="22"/>
              </w:rPr>
            </w:pPr>
            <w:r>
              <w:rPr>
                <w:rStyle w:val="font01"/>
                <w:rFonts w:asciiTheme="minorEastAsia" w:eastAsiaTheme="minorEastAsia" w:hAnsiTheme="minorEastAsia" w:cstheme="minorEastAsia" w:hint="eastAsia"/>
                <w:b/>
                <w:color w:val="auto"/>
                <w:sz w:val="19"/>
                <w:szCs w:val="19"/>
                <w:shd w:val="clear" w:color="auto" w:fill="FFFFFF"/>
              </w:rPr>
              <w:lastRenderedPageBreak/>
              <w:t>Ⅰ</w:t>
            </w:r>
            <w:r>
              <w:rPr>
                <w:rStyle w:val="font01"/>
                <w:rFonts w:asciiTheme="minorEastAsia" w:hAnsiTheme="minorEastAsia" w:cstheme="minorEastAsia" w:hint="eastAsia"/>
                <w:b/>
                <w:color w:val="auto"/>
                <w:sz w:val="19"/>
                <w:szCs w:val="19"/>
                <w:shd w:val="clear" w:color="auto" w:fill="FFFFFF"/>
              </w:rPr>
              <w:t>-4</w:t>
            </w:r>
            <w:r>
              <w:rPr>
                <w:rStyle w:val="font01"/>
                <w:rFonts w:asciiTheme="minorEastAsia" w:eastAsiaTheme="minorEastAsia" w:hAnsiTheme="minorEastAsia" w:cstheme="minorEastAsia" w:hint="eastAsia"/>
                <w:b/>
                <w:color w:val="auto"/>
                <w:sz w:val="19"/>
                <w:szCs w:val="19"/>
                <w:shd w:val="clear" w:color="auto" w:fill="FFFFFF"/>
              </w:rPr>
              <w:t xml:space="preserve"> </w:t>
            </w:r>
            <w:r>
              <w:rPr>
                <w:rStyle w:val="font01"/>
                <w:rFonts w:asciiTheme="minorEastAsia" w:eastAsiaTheme="minorEastAsia" w:hAnsiTheme="minorEastAsia" w:cstheme="minorEastAsia" w:hint="eastAsia"/>
                <w:b/>
                <w:color w:val="auto"/>
              </w:rPr>
              <w:t>加强宣传教育</w:t>
            </w:r>
          </w:p>
        </w:tc>
      </w:tr>
      <w:tr w:rsidR="005A1ADB">
        <w:trPr>
          <w:cantSplit/>
          <w:trHeight w:val="1080"/>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1</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Style w:val="font01"/>
                <w:rFonts w:asciiTheme="minorEastAsia" w:eastAsiaTheme="minorEastAsia" w:hAnsiTheme="minorEastAsia" w:cstheme="minorEastAsia" w:hint="eastAsia"/>
                <w:color w:val="auto"/>
              </w:rPr>
              <w:t>开展</w:t>
            </w:r>
            <w:r>
              <w:rPr>
                <w:rStyle w:val="font11"/>
                <w:rFonts w:asciiTheme="minorEastAsia" w:hAnsiTheme="minorEastAsia" w:cstheme="minorEastAsia" w:hint="eastAsia"/>
                <w:color w:val="auto"/>
              </w:rPr>
              <w:t>“</w:t>
            </w:r>
            <w:r>
              <w:rPr>
                <w:rStyle w:val="font01"/>
                <w:rFonts w:asciiTheme="minorEastAsia" w:eastAsiaTheme="minorEastAsia" w:hAnsiTheme="minorEastAsia" w:cstheme="minorEastAsia" w:hint="eastAsia"/>
                <w:color w:val="auto"/>
              </w:rPr>
              <w:t>无废城市</w:t>
            </w:r>
            <w:r>
              <w:rPr>
                <w:rStyle w:val="font11"/>
                <w:rFonts w:asciiTheme="minorEastAsia" w:hAnsiTheme="minorEastAsia" w:cstheme="minorEastAsia" w:hint="eastAsia"/>
                <w:color w:val="auto"/>
              </w:rPr>
              <w:t>”</w:t>
            </w:r>
            <w:r>
              <w:rPr>
                <w:rStyle w:val="font01"/>
                <w:rFonts w:asciiTheme="minorEastAsia" w:eastAsiaTheme="minorEastAsia" w:hAnsiTheme="minorEastAsia" w:cstheme="minorEastAsia" w:hint="eastAsia"/>
                <w:color w:val="auto"/>
              </w:rPr>
              <w:t>宣传教育</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设立“无废城市宣传月”，编制“无废城市”宣传方案</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市生态环境局</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市“无废城市”建设工作领导小组成员单位</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设立“无废城市宣传月”，编制“无废城市”宣传方案并开展工作</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持续推进</w:t>
            </w:r>
          </w:p>
        </w:tc>
      </w:tr>
      <w:tr w:rsidR="005A1ADB">
        <w:trPr>
          <w:cantSplit/>
          <w:trHeight w:val="2444"/>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2</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Style w:val="font01"/>
                <w:rFonts w:asciiTheme="minorEastAsia" w:eastAsiaTheme="minorEastAsia" w:hAnsiTheme="minorEastAsia" w:cstheme="minorEastAsia" w:hint="eastAsia"/>
                <w:color w:val="auto"/>
              </w:rPr>
              <w:t>有针对性的</w:t>
            </w:r>
            <w:r>
              <w:rPr>
                <w:rStyle w:val="font11"/>
                <w:rFonts w:asciiTheme="minorEastAsia" w:hAnsiTheme="minorEastAsia" w:cstheme="minorEastAsia" w:hint="eastAsia"/>
                <w:color w:val="auto"/>
              </w:rPr>
              <w:t>对生活垃圾分类</w:t>
            </w:r>
            <w:r>
              <w:rPr>
                <w:rStyle w:val="font01"/>
                <w:rFonts w:asciiTheme="minorEastAsia" w:eastAsiaTheme="minorEastAsia" w:hAnsiTheme="minorEastAsia" w:cstheme="minorEastAsia" w:hint="eastAsia"/>
                <w:color w:val="auto"/>
              </w:rPr>
              <w:t>开展宣传，制定宣传方案，进行多渠道、多主体、全覆盖式的绿色生活方式宣传</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改变居民生活方式，进一步推行垃圾分类</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市城市管理局</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市“无废城市”建设工作领导小组成员单位</w:t>
            </w:r>
            <w:r>
              <w:rPr>
                <w:rFonts w:asciiTheme="minorEastAsia" w:hAnsiTheme="minorEastAsia" w:cstheme="minorEastAsia" w:hint="eastAsia"/>
                <w:kern w:val="0"/>
                <w:sz w:val="22"/>
              </w:rPr>
              <w:t xml:space="preserve">   </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机关、学校等公共部门先行推广</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努力实现市内全覆盖</w:t>
            </w:r>
          </w:p>
        </w:tc>
      </w:tr>
      <w:tr w:rsidR="005A1ADB">
        <w:trPr>
          <w:cantSplit/>
          <w:trHeight w:val="3808"/>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3</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Style w:val="font01"/>
                <w:rFonts w:asciiTheme="minorEastAsia" w:eastAsiaTheme="minorEastAsia" w:hAnsiTheme="minorEastAsia" w:cstheme="minorEastAsia"/>
                <w:color w:val="auto"/>
              </w:rPr>
            </w:pPr>
            <w:r>
              <w:rPr>
                <w:rStyle w:val="font01"/>
                <w:rFonts w:asciiTheme="minorEastAsia" w:eastAsiaTheme="minorEastAsia" w:hAnsiTheme="minorEastAsia" w:cstheme="minorEastAsia" w:hint="eastAsia"/>
                <w:color w:val="auto"/>
              </w:rPr>
              <w:t>运用电视台、广播、报纸等传统媒体，网站、微博、微信及新闻客户端等新媒体，广泛开展微倡议、微签名、微点赞等活动。以集中采访报道、图文解读、新闻评论等形式，宣传“无废城市”建设成果。充分利用地铁、公交电子屏、移动电视、宣传栏等载体刊播“无废城市”建设宣传标语和宣传视频等</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强化宣传，营造无废氛围，提升居民无废意识</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市委宣传部</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市“无废城市”建设工作领导小组成员单位</w:t>
            </w:r>
            <w:r>
              <w:rPr>
                <w:rFonts w:asciiTheme="minorEastAsia" w:hAnsiTheme="minorEastAsia" w:cstheme="minorEastAsia" w:hint="eastAsia"/>
                <w:kern w:val="0"/>
                <w:sz w:val="22"/>
              </w:rPr>
              <w:t xml:space="preserve">   </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落实</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落实</w:t>
            </w:r>
          </w:p>
        </w:tc>
      </w:tr>
      <w:tr w:rsidR="005A1ADB">
        <w:trPr>
          <w:cantSplit/>
          <w:trHeight w:val="30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b/>
                <w:sz w:val="22"/>
              </w:rPr>
            </w:pPr>
            <w:r>
              <w:rPr>
                <w:rStyle w:val="font01"/>
                <w:rFonts w:asciiTheme="minorEastAsia" w:eastAsiaTheme="minorEastAsia" w:hAnsiTheme="minorEastAsia" w:cstheme="minorEastAsia" w:hint="eastAsia"/>
                <w:b/>
                <w:color w:val="auto"/>
                <w:sz w:val="19"/>
                <w:szCs w:val="19"/>
                <w:shd w:val="clear" w:color="auto" w:fill="FFFFFF"/>
              </w:rPr>
              <w:lastRenderedPageBreak/>
              <w:t>Ⅰ</w:t>
            </w:r>
            <w:r>
              <w:rPr>
                <w:rStyle w:val="font01"/>
                <w:rFonts w:asciiTheme="minorEastAsia" w:hAnsiTheme="minorEastAsia" w:cstheme="minorEastAsia" w:hint="eastAsia"/>
                <w:b/>
                <w:color w:val="auto"/>
                <w:sz w:val="19"/>
                <w:szCs w:val="19"/>
                <w:shd w:val="clear" w:color="auto" w:fill="FFFFFF"/>
              </w:rPr>
              <w:t>-5</w:t>
            </w:r>
            <w:r>
              <w:rPr>
                <w:rStyle w:val="font01"/>
                <w:rFonts w:asciiTheme="minorEastAsia" w:eastAsiaTheme="minorEastAsia" w:hAnsiTheme="minorEastAsia" w:cstheme="minorEastAsia" w:hint="eastAsia"/>
                <w:b/>
                <w:color w:val="auto"/>
                <w:sz w:val="19"/>
                <w:szCs w:val="19"/>
                <w:shd w:val="clear" w:color="auto" w:fill="FFFFFF"/>
              </w:rPr>
              <w:t xml:space="preserve"> </w:t>
            </w:r>
            <w:r>
              <w:rPr>
                <w:rStyle w:val="font01"/>
                <w:rFonts w:asciiTheme="minorEastAsia" w:eastAsiaTheme="minorEastAsia" w:hAnsiTheme="minorEastAsia" w:cstheme="minorEastAsia" w:hint="eastAsia"/>
                <w:b/>
                <w:color w:val="auto"/>
              </w:rPr>
              <w:t>其他</w:t>
            </w:r>
          </w:p>
        </w:tc>
      </w:tr>
      <w:tr w:rsidR="005A1ADB">
        <w:trPr>
          <w:cantSplit/>
          <w:trHeight w:val="1329"/>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1</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开展绿色供应链建设，促进产业升级</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推动产品产业和价值链迈向中高端，形成产业发展优势和发展后劲</w:t>
            </w:r>
          </w:p>
        </w:tc>
        <w:tc>
          <w:tcPr>
            <w:tcW w:w="645" w:type="pct"/>
            <w:gridSpan w:val="2"/>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sz w:val="22"/>
              </w:rPr>
              <w:t>市工信局</w:t>
            </w:r>
          </w:p>
        </w:tc>
        <w:tc>
          <w:tcPr>
            <w:tcW w:w="403" w:type="pct"/>
            <w:gridSpan w:val="2"/>
            <w:tcBorders>
              <w:top w:val="single" w:sz="4" w:space="0" w:color="000000"/>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widowControl/>
              <w:jc w:val="center"/>
              <w:textAlignment w:val="center"/>
              <w:rPr>
                <w:rFonts w:asciiTheme="minorEastAsia" w:hAnsiTheme="minorEastAsia" w:cstheme="minorEastAsia"/>
                <w:kern w:val="0"/>
                <w:sz w:val="22"/>
              </w:rPr>
            </w:pP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积极探索推动</w:t>
            </w:r>
          </w:p>
        </w:tc>
        <w:tc>
          <w:tcPr>
            <w:tcW w:w="789"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落实</w:t>
            </w:r>
          </w:p>
        </w:tc>
      </w:tr>
      <w:tr w:rsidR="005A1ADB">
        <w:trPr>
          <w:cantSplit/>
          <w:trHeight w:val="1205"/>
        </w:trPr>
        <w:tc>
          <w:tcPr>
            <w:tcW w:w="385" w:type="pc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2</w:t>
            </w:r>
          </w:p>
        </w:tc>
        <w:tc>
          <w:tcPr>
            <w:tcW w:w="1212"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大力推进清洁生产技术改造</w:t>
            </w:r>
          </w:p>
        </w:tc>
        <w:tc>
          <w:tcPr>
            <w:tcW w:w="1024" w:type="pct"/>
            <w:gridSpan w:val="4"/>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有效减少工业固体废物源头产生量，树立行业清洁生产标杆企业</w:t>
            </w:r>
          </w:p>
        </w:tc>
        <w:tc>
          <w:tcPr>
            <w:tcW w:w="645" w:type="pct"/>
            <w:gridSpan w:val="2"/>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市生态环境局</w:t>
            </w:r>
          </w:p>
        </w:tc>
        <w:tc>
          <w:tcPr>
            <w:tcW w:w="403" w:type="pct"/>
            <w:gridSpan w:val="2"/>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sz w:val="22"/>
              </w:rPr>
              <w:t>市工信局</w:t>
            </w:r>
          </w:p>
        </w:tc>
        <w:tc>
          <w:tcPr>
            <w:tcW w:w="539"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鼓励企业加强清洁生产工艺改造</w:t>
            </w:r>
          </w:p>
        </w:tc>
        <w:tc>
          <w:tcPr>
            <w:tcW w:w="789" w:type="pct"/>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持续推进</w:t>
            </w:r>
          </w:p>
        </w:tc>
      </w:tr>
      <w:tr w:rsidR="005A1ADB">
        <w:trPr>
          <w:cantSplit/>
          <w:trHeight w:val="852"/>
        </w:trPr>
        <w:tc>
          <w:tcPr>
            <w:tcW w:w="38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3</w:t>
            </w:r>
          </w:p>
        </w:tc>
        <w:tc>
          <w:tcPr>
            <w:tcW w:w="1212"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推进种养结合模式，促进畜禽粪污资源化利用</w:t>
            </w:r>
          </w:p>
        </w:tc>
        <w:tc>
          <w:tcPr>
            <w:tcW w:w="1024" w:type="pct"/>
            <w:gridSpan w:val="4"/>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引导散养户畜禽粪污分户收集、统一处理利用，实现村屯内无畜禽粪污随处排放、堆积现象；推进畜牧业转型升级和绿色发展，培育一批设施完善、具备成长性及示范性的畜产品加工龙头企业。</w:t>
            </w:r>
          </w:p>
        </w:tc>
        <w:tc>
          <w:tcPr>
            <w:tcW w:w="6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3" w:type="pct"/>
            <w:gridSpan w:val="2"/>
            <w:vMerge w:val="restart"/>
            <w:tcBorders>
              <w:top w:val="single" w:sz="4" w:space="0" w:color="auto"/>
              <w:left w:val="single" w:sz="4" w:space="0" w:color="auto"/>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kern w:val="0"/>
                <w:sz w:val="22"/>
              </w:rPr>
            </w:pPr>
            <w:r>
              <w:rPr>
                <w:rFonts w:asciiTheme="minorEastAsia" w:hAnsiTheme="minorEastAsia" w:cstheme="minorEastAsia" w:hint="eastAsia"/>
                <w:kern w:val="0"/>
                <w:sz w:val="22"/>
              </w:rPr>
              <w:t>市畜牧局</w:t>
            </w:r>
          </w:p>
        </w:tc>
        <w:tc>
          <w:tcPr>
            <w:tcW w:w="539"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引导散小养殖户畜禽粪污规范化管理</w:t>
            </w:r>
          </w:p>
        </w:tc>
        <w:tc>
          <w:tcPr>
            <w:tcW w:w="789"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引进培育一批畜牧产品加工企业</w:t>
            </w:r>
          </w:p>
        </w:tc>
      </w:tr>
      <w:tr w:rsidR="005A1ADB">
        <w:trPr>
          <w:cantSplit/>
          <w:trHeight w:val="694"/>
        </w:trPr>
        <w:tc>
          <w:tcPr>
            <w:tcW w:w="385" w:type="pct"/>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widowControl/>
              <w:jc w:val="center"/>
              <w:textAlignment w:val="center"/>
              <w:rPr>
                <w:rFonts w:asciiTheme="minorEastAsia" w:hAnsiTheme="minorEastAsia" w:cstheme="minorEastAsia"/>
                <w:kern w:val="0"/>
                <w:sz w:val="22"/>
              </w:rPr>
            </w:pPr>
          </w:p>
        </w:tc>
        <w:tc>
          <w:tcPr>
            <w:tcW w:w="1212" w:type="pct"/>
            <w:gridSpan w:val="2"/>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widowControl/>
              <w:jc w:val="left"/>
              <w:textAlignment w:val="center"/>
              <w:rPr>
                <w:rFonts w:asciiTheme="minorEastAsia" w:hAnsiTheme="minorEastAsia" w:cstheme="minorEastAsia"/>
                <w:kern w:val="0"/>
                <w:sz w:val="22"/>
              </w:rPr>
            </w:pPr>
          </w:p>
        </w:tc>
        <w:tc>
          <w:tcPr>
            <w:tcW w:w="1024" w:type="pct"/>
            <w:gridSpan w:val="4"/>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widowControl/>
              <w:jc w:val="left"/>
              <w:textAlignment w:val="center"/>
              <w:rPr>
                <w:rFonts w:asciiTheme="minorEastAsia" w:hAnsiTheme="minorEastAsia" w:cstheme="minorEastAsia"/>
                <w:kern w:val="0"/>
                <w:sz w:val="22"/>
              </w:rPr>
            </w:pPr>
          </w:p>
        </w:tc>
        <w:tc>
          <w:tcPr>
            <w:tcW w:w="645" w:type="pct"/>
            <w:gridSpan w:val="2"/>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市生态环境局</w:t>
            </w:r>
          </w:p>
        </w:tc>
        <w:tc>
          <w:tcPr>
            <w:tcW w:w="403" w:type="pct"/>
            <w:gridSpan w:val="2"/>
            <w:vMerge/>
            <w:tcBorders>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9" w:type="pct"/>
            <w:gridSpan w:val="2"/>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widowControl/>
              <w:jc w:val="left"/>
              <w:textAlignment w:val="center"/>
              <w:rPr>
                <w:rFonts w:asciiTheme="minorEastAsia" w:hAnsiTheme="minorEastAsia" w:cstheme="minorEastAsia"/>
                <w:kern w:val="0"/>
                <w:sz w:val="22"/>
              </w:rPr>
            </w:pPr>
          </w:p>
        </w:tc>
        <w:tc>
          <w:tcPr>
            <w:tcW w:w="789" w:type="pct"/>
            <w:gridSpan w:val="3"/>
            <w:vMerge/>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5A1ADB" w:rsidRDefault="005A1ADB">
            <w:pPr>
              <w:widowControl/>
              <w:jc w:val="left"/>
              <w:textAlignment w:val="center"/>
              <w:rPr>
                <w:rFonts w:asciiTheme="minorEastAsia" w:hAnsiTheme="minorEastAsia" w:cstheme="minorEastAsia"/>
                <w:kern w:val="0"/>
                <w:sz w:val="22"/>
              </w:rPr>
            </w:pPr>
          </w:p>
        </w:tc>
      </w:tr>
      <w:tr w:rsidR="005A1ADB">
        <w:trPr>
          <w:gridAfter w:val="1"/>
          <w:wAfter w:w="7" w:type="pct"/>
          <w:trHeight w:val="270"/>
        </w:trPr>
        <w:tc>
          <w:tcPr>
            <w:tcW w:w="4992" w:type="pct"/>
            <w:gridSpan w:val="1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b/>
                <w:bCs/>
                <w:sz w:val="22"/>
              </w:rPr>
              <w:t>Ⅱ</w:t>
            </w:r>
            <w:r>
              <w:rPr>
                <w:rFonts w:asciiTheme="minorEastAsia" w:hAnsiTheme="minorEastAsia" w:cstheme="minorEastAsia" w:hint="eastAsia"/>
                <w:b/>
                <w:bCs/>
                <w:sz w:val="22"/>
              </w:rPr>
              <w:t xml:space="preserve"> </w:t>
            </w:r>
            <w:r>
              <w:rPr>
                <w:rFonts w:asciiTheme="minorEastAsia" w:hAnsiTheme="minorEastAsia" w:cstheme="minorEastAsia" w:hint="eastAsia"/>
                <w:b/>
                <w:bCs/>
                <w:sz w:val="22"/>
              </w:rPr>
              <w:t>技术体系：主要包括固体废物技术示范体系、固体废物技术标准规范、新型技术研发和技术攻关及固体废物智慧监管平台</w:t>
            </w:r>
            <w:r>
              <w:rPr>
                <w:rFonts w:asciiTheme="minorEastAsia" w:hAnsiTheme="minorEastAsia" w:cstheme="minorEastAsia" w:hint="eastAsia"/>
                <w:b/>
                <w:bCs/>
                <w:sz w:val="22"/>
              </w:rPr>
              <w:t>4</w:t>
            </w:r>
            <w:r>
              <w:rPr>
                <w:rFonts w:asciiTheme="minorEastAsia" w:hAnsiTheme="minorEastAsia" w:cstheme="minorEastAsia" w:hint="eastAsia"/>
                <w:b/>
                <w:bCs/>
                <w:sz w:val="22"/>
              </w:rPr>
              <w:t>个领域，期间共部署</w:t>
            </w:r>
            <w:r>
              <w:rPr>
                <w:rFonts w:asciiTheme="minorEastAsia" w:hAnsiTheme="minorEastAsia" w:cstheme="minorEastAsia" w:hint="eastAsia"/>
                <w:b/>
                <w:bCs/>
                <w:sz w:val="22"/>
              </w:rPr>
              <w:t>11</w:t>
            </w:r>
            <w:r>
              <w:rPr>
                <w:rFonts w:asciiTheme="minorEastAsia" w:hAnsiTheme="minorEastAsia" w:cstheme="minorEastAsia" w:hint="eastAsia"/>
                <w:b/>
                <w:bCs/>
                <w:sz w:val="22"/>
              </w:rPr>
              <w:t>项任务。</w:t>
            </w:r>
          </w:p>
        </w:tc>
      </w:tr>
      <w:tr w:rsidR="005A1ADB">
        <w:trPr>
          <w:gridAfter w:val="2"/>
          <w:wAfter w:w="397" w:type="pct"/>
          <w:trHeight w:val="270"/>
        </w:trPr>
        <w:tc>
          <w:tcPr>
            <w:tcW w:w="1213" w:type="pct"/>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序号任务清单</w:t>
            </w:r>
          </w:p>
        </w:tc>
        <w:tc>
          <w:tcPr>
            <w:tcW w:w="1023" w:type="pct"/>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预期目标</w:t>
            </w:r>
          </w:p>
        </w:tc>
        <w:tc>
          <w:tcPr>
            <w:tcW w:w="643" w:type="pct"/>
            <w:gridSpan w:val="3"/>
            <w:tcBorders>
              <w:top w:val="single" w:sz="4" w:space="0" w:color="000000"/>
              <w:left w:val="single" w:sz="4" w:space="0" w:color="000000"/>
              <w:bottom w:val="nil"/>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责任主体</w:t>
            </w:r>
          </w:p>
        </w:tc>
        <w:tc>
          <w:tcPr>
            <w:tcW w:w="408" w:type="pct"/>
            <w:gridSpan w:val="2"/>
            <w:tcBorders>
              <w:top w:val="single" w:sz="4" w:space="0" w:color="000000"/>
              <w:left w:val="single" w:sz="4" w:space="0" w:color="auto"/>
              <w:bottom w:val="nil"/>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配合单位</w:t>
            </w:r>
          </w:p>
        </w:tc>
        <w:tc>
          <w:tcPr>
            <w:tcW w:w="1314" w:type="pct"/>
            <w:gridSpan w:val="4"/>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sz w:val="22"/>
              </w:rPr>
              <w:t>进度安排</w:t>
            </w:r>
          </w:p>
        </w:tc>
      </w:tr>
      <w:tr w:rsidR="005A1ADB">
        <w:trPr>
          <w:gridAfter w:val="1"/>
          <w:wAfter w:w="7" w:type="pct"/>
          <w:trHeight w:val="270"/>
        </w:trPr>
        <w:tc>
          <w:tcPr>
            <w:tcW w:w="385" w:type="pct"/>
            <w:tcBorders>
              <w:top w:val="nil"/>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1212" w:type="pct"/>
            <w:gridSpan w:val="2"/>
            <w:tcBorders>
              <w:top w:val="nil"/>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1024" w:type="pct"/>
            <w:gridSpan w:val="4"/>
            <w:tcBorders>
              <w:top w:val="nil"/>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645" w:type="pct"/>
            <w:gridSpan w:val="2"/>
            <w:tcBorders>
              <w:top w:val="nil"/>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408" w:type="pct"/>
            <w:gridSpan w:val="3"/>
            <w:tcBorders>
              <w:top w:val="nil"/>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534" w:type="pct"/>
            <w:tcBorders>
              <w:top w:val="nil"/>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2022</w:t>
            </w:r>
            <w:r>
              <w:rPr>
                <w:rFonts w:asciiTheme="minorEastAsia" w:hAnsiTheme="minorEastAsia" w:cstheme="minorEastAsia" w:hint="eastAsia"/>
                <w:kern w:val="0"/>
                <w:sz w:val="22"/>
              </w:rPr>
              <w:t>年</w:t>
            </w:r>
          </w:p>
        </w:tc>
        <w:tc>
          <w:tcPr>
            <w:tcW w:w="782" w:type="pct"/>
            <w:gridSpan w:val="2"/>
            <w:tcBorders>
              <w:top w:val="nil"/>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2023</w:t>
            </w:r>
            <w:r>
              <w:rPr>
                <w:rFonts w:asciiTheme="minorEastAsia" w:hAnsiTheme="minorEastAsia" w:cstheme="minorEastAsia" w:hint="eastAsia"/>
                <w:kern w:val="0"/>
                <w:sz w:val="22"/>
              </w:rPr>
              <w:t>年</w:t>
            </w:r>
          </w:p>
        </w:tc>
      </w:tr>
      <w:tr w:rsidR="005A1ADB">
        <w:trPr>
          <w:gridAfter w:val="1"/>
          <w:wAfter w:w="7" w:type="pct"/>
          <w:trHeight w:val="300"/>
        </w:trPr>
        <w:tc>
          <w:tcPr>
            <w:tcW w:w="4992" w:type="pct"/>
            <w:gridSpan w:val="15"/>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Style w:val="font21"/>
                <w:rFonts w:asciiTheme="minorEastAsia" w:hAnsiTheme="minorEastAsia" w:cstheme="minorEastAsia"/>
                <w:color w:val="auto"/>
              </w:rPr>
            </w:pPr>
            <w:r>
              <w:rPr>
                <w:rFonts w:asciiTheme="minorEastAsia" w:hAnsiTheme="minorEastAsia" w:cstheme="minorEastAsia" w:hint="eastAsia"/>
                <w:b/>
                <w:bCs/>
                <w:sz w:val="22"/>
              </w:rPr>
              <w:t>Ⅱ</w:t>
            </w:r>
            <w:r>
              <w:rPr>
                <w:rFonts w:asciiTheme="minorEastAsia" w:hAnsiTheme="minorEastAsia" w:cstheme="minorEastAsia" w:hint="eastAsia"/>
                <w:b/>
                <w:bCs/>
                <w:sz w:val="22"/>
              </w:rPr>
              <w:t xml:space="preserve">-1 </w:t>
            </w:r>
            <w:r>
              <w:rPr>
                <w:rFonts w:asciiTheme="minorEastAsia" w:hAnsiTheme="minorEastAsia" w:cstheme="minorEastAsia" w:hint="eastAsia"/>
                <w:b/>
                <w:kern w:val="0"/>
                <w:sz w:val="22"/>
              </w:rPr>
              <w:t>固体废物技术示范体系</w:t>
            </w:r>
          </w:p>
        </w:tc>
      </w:tr>
      <w:tr w:rsidR="005A1ADB">
        <w:trPr>
          <w:gridAfter w:val="1"/>
          <w:wAfter w:w="7" w:type="pct"/>
          <w:trHeight w:val="1434"/>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1</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大力推行秸秆离田机收捡拾打捆、粉碎翻压还田、保护性耕作、腐化沤肥等秸秆还田技术，最大限度利用秸秆</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提高秸秆综合利用高值化水平</w:t>
            </w:r>
          </w:p>
        </w:tc>
        <w:tc>
          <w:tcPr>
            <w:tcW w:w="645"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8" w:type="pct"/>
            <w:gridSpan w:val="3"/>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kern w:val="0"/>
                <w:sz w:val="22"/>
              </w:rPr>
            </w:pPr>
          </w:p>
        </w:tc>
        <w:tc>
          <w:tcPr>
            <w:tcW w:w="53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Style w:val="font21"/>
                <w:rFonts w:asciiTheme="minorEastAsia" w:hAnsiTheme="minorEastAsia" w:cstheme="minorEastAsia" w:hint="eastAsia"/>
                <w:color w:val="auto"/>
              </w:rPr>
              <w:t>完成</w:t>
            </w:r>
            <w:r>
              <w:rPr>
                <w:rFonts w:asciiTheme="minorEastAsia" w:hAnsiTheme="minorEastAsia" w:cstheme="minorEastAsia" w:hint="eastAsia"/>
                <w:kern w:val="0"/>
                <w:sz w:val="22"/>
              </w:rPr>
              <w:t>技术调研工作</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开展技术研发</w:t>
            </w:r>
          </w:p>
        </w:tc>
      </w:tr>
      <w:tr w:rsidR="005A1ADB">
        <w:trPr>
          <w:gridAfter w:val="1"/>
          <w:wAfter w:w="7" w:type="pct"/>
          <w:trHeight w:val="840"/>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lastRenderedPageBreak/>
              <w:t>2</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推广机械揭膜、拾膜等技术</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提高地膜回收、处理利用效率</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sz w:val="22"/>
              </w:rPr>
            </w:pPr>
          </w:p>
        </w:tc>
        <w:tc>
          <w:tcPr>
            <w:tcW w:w="53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开展技术和市场调研工作</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开展试点技术示范</w:t>
            </w:r>
          </w:p>
        </w:tc>
      </w:tr>
      <w:tr w:rsidR="005A1ADB">
        <w:trPr>
          <w:gridAfter w:val="1"/>
          <w:wAfter w:w="7" w:type="pct"/>
          <w:trHeight w:val="1515"/>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3</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开展立体养殖、有机肥加工等畜禽粪污减量化和资源化利用技术示范</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打造一批畜禽粪污综合利用先进示范工程，形成示范带动效应</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市畜牧局</w:t>
            </w:r>
          </w:p>
        </w:tc>
        <w:tc>
          <w:tcPr>
            <w:tcW w:w="53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开展技术调研工作</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在重点养殖场、有机肥厂开展相关技术示范</w:t>
            </w:r>
          </w:p>
        </w:tc>
      </w:tr>
      <w:tr w:rsidR="005A1ADB">
        <w:trPr>
          <w:gridAfter w:val="1"/>
          <w:wAfter w:w="7" w:type="pct"/>
          <w:trHeight w:val="1515"/>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4</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污泥干化后与生活垃圾协同焚烧技术示范</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提高污泥综合利用率</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市生态环境局</w:t>
            </w: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sz w:val="22"/>
              </w:rPr>
            </w:pPr>
          </w:p>
        </w:tc>
        <w:tc>
          <w:tcPr>
            <w:tcW w:w="53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开展试点项目建设</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形成技术示范体系</w:t>
            </w:r>
          </w:p>
        </w:tc>
      </w:tr>
      <w:tr w:rsidR="005A1ADB">
        <w:trPr>
          <w:gridAfter w:val="1"/>
          <w:wAfter w:w="7" w:type="pct"/>
          <w:trHeight w:val="300"/>
        </w:trPr>
        <w:tc>
          <w:tcPr>
            <w:tcW w:w="4992" w:type="pct"/>
            <w:gridSpan w:val="1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b/>
                <w:sz w:val="22"/>
              </w:rPr>
            </w:pPr>
            <w:r>
              <w:rPr>
                <w:rFonts w:asciiTheme="minorEastAsia" w:hAnsiTheme="minorEastAsia" w:cstheme="minorEastAsia" w:hint="eastAsia"/>
                <w:b/>
                <w:bCs/>
                <w:sz w:val="22"/>
              </w:rPr>
              <w:t>Ⅱ</w:t>
            </w:r>
            <w:r>
              <w:rPr>
                <w:rFonts w:asciiTheme="minorEastAsia" w:hAnsiTheme="minorEastAsia" w:cstheme="minorEastAsia" w:hint="eastAsia"/>
                <w:b/>
                <w:bCs/>
                <w:sz w:val="22"/>
              </w:rPr>
              <w:t xml:space="preserve">-2 </w:t>
            </w:r>
            <w:r>
              <w:rPr>
                <w:rFonts w:asciiTheme="minorEastAsia" w:hAnsiTheme="minorEastAsia" w:cstheme="minorEastAsia" w:hint="eastAsia"/>
                <w:b/>
                <w:kern w:val="0"/>
                <w:sz w:val="22"/>
              </w:rPr>
              <w:t>固体废物技术标准规范</w:t>
            </w:r>
          </w:p>
        </w:tc>
      </w:tr>
      <w:tr w:rsidR="005A1ADB">
        <w:trPr>
          <w:gridAfter w:val="1"/>
          <w:wAfter w:w="7" w:type="pct"/>
          <w:trHeight w:val="2010"/>
        </w:trPr>
        <w:tc>
          <w:tcPr>
            <w:tcW w:w="385" w:type="pc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1</w:t>
            </w:r>
          </w:p>
        </w:tc>
        <w:tc>
          <w:tcPr>
            <w:tcW w:w="1212"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依托绿色农产品标准认证和质量安全监管体系，大力发展标准农业，系统完善农业标准化生产规程体系</w:t>
            </w:r>
          </w:p>
        </w:tc>
        <w:tc>
          <w:tcPr>
            <w:tcW w:w="1024" w:type="pct"/>
            <w:gridSpan w:val="4"/>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推进全域标准化生产，规范生产行为，促进农业废弃物源头减量</w:t>
            </w:r>
          </w:p>
        </w:tc>
        <w:tc>
          <w:tcPr>
            <w:tcW w:w="645"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8" w:type="pct"/>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市市场监督管理局</w:t>
            </w:r>
          </w:p>
        </w:tc>
        <w:tc>
          <w:tcPr>
            <w:tcW w:w="534" w:type="pc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全面梳理标准农业发展基础</w:t>
            </w:r>
          </w:p>
        </w:tc>
        <w:tc>
          <w:tcPr>
            <w:tcW w:w="782"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建立工作小组，完成工作方案制定</w:t>
            </w:r>
          </w:p>
        </w:tc>
      </w:tr>
      <w:tr w:rsidR="005A1ADB">
        <w:trPr>
          <w:gridAfter w:val="1"/>
          <w:wAfter w:w="7" w:type="pct"/>
          <w:trHeight w:val="843"/>
        </w:trPr>
        <w:tc>
          <w:tcPr>
            <w:tcW w:w="38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2</w:t>
            </w:r>
          </w:p>
        </w:tc>
        <w:tc>
          <w:tcPr>
            <w:tcW w:w="121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建立秸秆收储运和综合利用体系的技术标准规范</w:t>
            </w:r>
          </w:p>
        </w:tc>
        <w:tc>
          <w:tcPr>
            <w:tcW w:w="1024"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形成育苗、种植、收获、秸秆还田、收储、</w:t>
            </w:r>
            <w:r>
              <w:rPr>
                <w:rStyle w:val="font21"/>
                <w:rFonts w:asciiTheme="minorEastAsia" w:hAnsiTheme="minorEastAsia" w:cstheme="minorEastAsia" w:hint="eastAsia"/>
                <w:color w:val="auto"/>
              </w:rPr>
              <w:t>“</w:t>
            </w:r>
            <w:r>
              <w:rPr>
                <w:rFonts w:asciiTheme="minorEastAsia" w:hAnsiTheme="minorEastAsia" w:cstheme="minorEastAsia" w:hint="eastAsia"/>
                <w:kern w:val="0"/>
                <w:sz w:val="22"/>
              </w:rPr>
              <w:t>五料化</w:t>
            </w:r>
            <w:r>
              <w:rPr>
                <w:rStyle w:val="font21"/>
                <w:rFonts w:asciiTheme="minorEastAsia" w:hAnsiTheme="minorEastAsia" w:cstheme="minorEastAsia" w:hint="eastAsia"/>
                <w:color w:val="auto"/>
              </w:rPr>
              <w:t>”</w:t>
            </w:r>
            <w:r>
              <w:rPr>
                <w:rFonts w:asciiTheme="minorEastAsia" w:hAnsiTheme="minorEastAsia" w:cstheme="minorEastAsia" w:hint="eastAsia"/>
                <w:kern w:val="0"/>
                <w:sz w:val="22"/>
              </w:rPr>
              <w:t>利用等全过程完整技术规范和装备标准</w:t>
            </w:r>
          </w:p>
        </w:tc>
        <w:tc>
          <w:tcPr>
            <w:tcW w:w="645" w:type="pct"/>
            <w:gridSpan w:val="2"/>
            <w:tcBorders>
              <w:top w:val="single" w:sz="4" w:space="0" w:color="auto"/>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市农业农村局</w:t>
            </w: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53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选择试点建设秸秆收储网点，配备专业化收储运队伍</w:t>
            </w:r>
          </w:p>
        </w:tc>
        <w:tc>
          <w:tcPr>
            <w:tcW w:w="78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A1ADB" w:rsidRDefault="005A1ADB">
            <w:pPr>
              <w:widowControl/>
              <w:jc w:val="left"/>
              <w:textAlignment w:val="center"/>
              <w:rPr>
                <w:rFonts w:asciiTheme="minorEastAsia" w:hAnsiTheme="minorEastAsia" w:cstheme="minorEastAsia"/>
                <w:kern w:val="0"/>
                <w:sz w:val="22"/>
              </w:rPr>
            </w:pPr>
          </w:p>
          <w:p w:rsidR="005A1ADB" w:rsidRDefault="005A1ADB">
            <w:pPr>
              <w:widowControl/>
              <w:jc w:val="left"/>
              <w:textAlignment w:val="center"/>
              <w:rPr>
                <w:rFonts w:asciiTheme="minorEastAsia" w:hAnsiTheme="minorEastAsia" w:cstheme="minorEastAsia"/>
                <w:kern w:val="0"/>
                <w:sz w:val="22"/>
              </w:rPr>
            </w:pPr>
          </w:p>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全域范围推进，引进一批秸秆综合利用示范项目</w:t>
            </w:r>
          </w:p>
          <w:p w:rsidR="005A1ADB" w:rsidRDefault="005A1ADB">
            <w:pPr>
              <w:widowControl/>
              <w:jc w:val="left"/>
              <w:textAlignment w:val="center"/>
              <w:rPr>
                <w:rFonts w:asciiTheme="minorEastAsia" w:hAnsiTheme="minorEastAsia" w:cstheme="minorEastAsia"/>
                <w:sz w:val="22"/>
              </w:rPr>
            </w:pPr>
          </w:p>
        </w:tc>
      </w:tr>
      <w:tr w:rsidR="005A1ADB">
        <w:trPr>
          <w:gridAfter w:val="1"/>
          <w:wAfter w:w="7" w:type="pct"/>
          <w:trHeight w:val="300"/>
        </w:trPr>
        <w:tc>
          <w:tcPr>
            <w:tcW w:w="4992" w:type="pct"/>
            <w:gridSpan w:val="1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b/>
                <w:sz w:val="22"/>
              </w:rPr>
            </w:pPr>
            <w:r>
              <w:rPr>
                <w:rFonts w:asciiTheme="minorEastAsia" w:hAnsiTheme="minorEastAsia" w:cstheme="minorEastAsia" w:hint="eastAsia"/>
                <w:b/>
                <w:bCs/>
                <w:sz w:val="22"/>
              </w:rPr>
              <w:lastRenderedPageBreak/>
              <w:t>Ⅱ</w:t>
            </w:r>
            <w:r>
              <w:rPr>
                <w:rFonts w:asciiTheme="minorEastAsia" w:hAnsiTheme="minorEastAsia" w:cstheme="minorEastAsia" w:hint="eastAsia"/>
                <w:b/>
                <w:bCs/>
                <w:sz w:val="22"/>
              </w:rPr>
              <w:t xml:space="preserve">-3 </w:t>
            </w:r>
            <w:r>
              <w:rPr>
                <w:rFonts w:asciiTheme="minorEastAsia" w:hAnsiTheme="minorEastAsia" w:cstheme="minorEastAsia" w:hint="eastAsia"/>
                <w:b/>
                <w:kern w:val="0"/>
                <w:sz w:val="22"/>
              </w:rPr>
              <w:t>新型技术研发和技术攻关</w:t>
            </w:r>
          </w:p>
        </w:tc>
      </w:tr>
      <w:tr w:rsidR="005A1ADB">
        <w:trPr>
          <w:gridAfter w:val="1"/>
          <w:wAfter w:w="7" w:type="pct"/>
          <w:trHeight w:val="1158"/>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1</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kern w:val="0"/>
                <w:sz w:val="22"/>
              </w:rPr>
              <w:t>秸秆全量粉碎翻压还田技术</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完善污染防治技术的产学研机制</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市农业农村局</w:t>
            </w: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5A1ADB">
            <w:pPr>
              <w:rPr>
                <w:rFonts w:asciiTheme="minorEastAsia" w:hAnsiTheme="minorEastAsia" w:cstheme="minorEastAsia"/>
                <w:sz w:val="22"/>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启动前期调研工作</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初步制定建设方案</w:t>
            </w:r>
          </w:p>
        </w:tc>
      </w:tr>
      <w:tr w:rsidR="005A1ADB">
        <w:trPr>
          <w:gridAfter w:val="1"/>
          <w:wAfter w:w="7" w:type="pct"/>
          <w:trHeight w:val="1515"/>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2</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rPr>
                <w:rFonts w:asciiTheme="minorEastAsia" w:hAnsiTheme="minorEastAsia" w:cstheme="minorEastAsia"/>
                <w:kern w:val="0"/>
                <w:sz w:val="22"/>
              </w:rPr>
            </w:pPr>
            <w:r>
              <w:rPr>
                <w:rFonts w:asciiTheme="minorEastAsia" w:hAnsiTheme="minorEastAsia" w:cstheme="minorEastAsia" w:hint="eastAsia"/>
                <w:kern w:val="0"/>
                <w:sz w:val="22"/>
              </w:rPr>
              <w:t>智慧城市和低碳城市相关核心技术研发</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推进智慧低碳城市规划建设，探索建设智造产学研实践基地，搭建建筑科技成果转化平台</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市“无废城市”领导小组成员单位</w:t>
            </w: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5A1ADB">
            <w:pPr>
              <w:rPr>
                <w:rFonts w:asciiTheme="minorEastAsia" w:hAnsiTheme="minorEastAsia" w:cstheme="minorEastAsia"/>
                <w:sz w:val="22"/>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探索推进</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探索推进</w:t>
            </w:r>
          </w:p>
        </w:tc>
      </w:tr>
      <w:tr w:rsidR="005A1ADB">
        <w:trPr>
          <w:gridAfter w:val="1"/>
          <w:wAfter w:w="7" w:type="pct"/>
          <w:trHeight w:val="1268"/>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3</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rPr>
                <w:rFonts w:asciiTheme="minorEastAsia" w:hAnsiTheme="minorEastAsia" w:cstheme="minorEastAsia"/>
                <w:kern w:val="0"/>
                <w:sz w:val="22"/>
              </w:rPr>
            </w:pPr>
            <w:r>
              <w:rPr>
                <w:rFonts w:asciiTheme="minorEastAsia" w:hAnsiTheme="minorEastAsia" w:cstheme="minorEastAsia" w:hint="eastAsia"/>
                <w:kern w:val="0"/>
                <w:sz w:val="22"/>
              </w:rPr>
              <w:t>固体废物污染环境防治技术研发</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推广先进适用污染防治技术，加强固体废物污染环境防治的科技支撑服务</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市“无废城市”领导小组成员单位</w:t>
            </w: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5A1ADB">
            <w:pPr>
              <w:rPr>
                <w:rFonts w:asciiTheme="minorEastAsia" w:hAnsiTheme="minorEastAsia" w:cstheme="minorEastAsia"/>
                <w:sz w:val="22"/>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探索推进</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探索推进</w:t>
            </w:r>
          </w:p>
        </w:tc>
      </w:tr>
      <w:tr w:rsidR="005A1ADB">
        <w:trPr>
          <w:gridAfter w:val="1"/>
          <w:wAfter w:w="7" w:type="pct"/>
          <w:trHeight w:val="1810"/>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4</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hint="eastAsia"/>
                <w:kern w:val="0"/>
                <w:sz w:val="22"/>
              </w:rPr>
              <w:t>工程渣土、泥浆、建筑物拆除垃圾资源化利用创新技术研发</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kern w:val="0"/>
                <w:sz w:val="22"/>
              </w:rPr>
            </w:pPr>
            <w:r>
              <w:rPr>
                <w:rFonts w:asciiTheme="minorEastAsia" w:hAnsiTheme="minorEastAsia" w:cstheme="minorEastAsia"/>
                <w:kern w:val="0"/>
                <w:sz w:val="22"/>
              </w:rPr>
              <w:t>鼓励和支持企业开展工程渣土、泥浆、建筑物拆除垃圾资源化利用创新技术开发</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市“无废城市”领导小组成员单位</w:t>
            </w: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5A1ADB">
            <w:pPr>
              <w:widowControl/>
              <w:jc w:val="center"/>
              <w:textAlignment w:val="center"/>
              <w:rPr>
                <w:rFonts w:asciiTheme="minorEastAsia" w:hAnsiTheme="minorEastAsia" w:cstheme="minorEastAsia"/>
                <w:kern w:val="0"/>
                <w:sz w:val="22"/>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探索推进</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探索推进</w:t>
            </w:r>
          </w:p>
        </w:tc>
      </w:tr>
      <w:tr w:rsidR="005A1ADB">
        <w:trPr>
          <w:gridAfter w:val="1"/>
          <w:wAfter w:w="7" w:type="pct"/>
          <w:trHeight w:val="300"/>
        </w:trPr>
        <w:tc>
          <w:tcPr>
            <w:tcW w:w="4992" w:type="pct"/>
            <w:gridSpan w:val="1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b/>
                <w:sz w:val="22"/>
              </w:rPr>
            </w:pPr>
            <w:r>
              <w:rPr>
                <w:rFonts w:asciiTheme="minorEastAsia" w:hAnsiTheme="minorEastAsia" w:cstheme="minorEastAsia" w:hint="eastAsia"/>
                <w:b/>
                <w:bCs/>
                <w:sz w:val="22"/>
              </w:rPr>
              <w:t>Ⅱ</w:t>
            </w:r>
            <w:r>
              <w:rPr>
                <w:rFonts w:asciiTheme="minorEastAsia" w:hAnsiTheme="minorEastAsia" w:cstheme="minorEastAsia" w:hint="eastAsia"/>
                <w:b/>
                <w:bCs/>
                <w:sz w:val="22"/>
              </w:rPr>
              <w:t xml:space="preserve">-4 </w:t>
            </w:r>
            <w:r>
              <w:rPr>
                <w:rFonts w:asciiTheme="minorEastAsia" w:hAnsiTheme="minorEastAsia" w:cstheme="minorEastAsia" w:hint="eastAsia"/>
                <w:b/>
                <w:kern w:val="0"/>
                <w:sz w:val="22"/>
              </w:rPr>
              <w:t>固体废物智慧监管平台</w:t>
            </w:r>
          </w:p>
        </w:tc>
      </w:tr>
      <w:tr w:rsidR="005A1ADB">
        <w:trPr>
          <w:gridAfter w:val="1"/>
          <w:wAfter w:w="7" w:type="pct"/>
          <w:trHeight w:val="1651"/>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sz w:val="22"/>
              </w:rPr>
              <w:t>1</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提升固体废物监管能力，完善危险废物全过程智能监管平台，促进政府相关部门间数据和信息共享</w:t>
            </w:r>
          </w:p>
        </w:tc>
        <w:tc>
          <w:tcPr>
            <w:tcW w:w="1024"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加强部门联合监管</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市生态环境局</w:t>
            </w: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widowControl/>
              <w:jc w:val="center"/>
              <w:textAlignment w:val="center"/>
              <w:rPr>
                <w:rFonts w:asciiTheme="minorEastAsia" w:hAnsiTheme="minorEastAsia" w:cstheme="minorEastAsia"/>
                <w:sz w:val="22"/>
              </w:rPr>
            </w:pPr>
          </w:p>
        </w:tc>
        <w:tc>
          <w:tcPr>
            <w:tcW w:w="53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完善危险废物全过程智能监管平台</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将全部固废纳入监管平台</w:t>
            </w:r>
          </w:p>
        </w:tc>
      </w:tr>
      <w:tr w:rsidR="005A1ADB">
        <w:trPr>
          <w:gridAfter w:val="1"/>
          <w:wAfter w:w="7" w:type="pct"/>
          <w:trHeight w:val="270"/>
        </w:trPr>
        <w:tc>
          <w:tcPr>
            <w:tcW w:w="4992" w:type="pct"/>
            <w:gridSpan w:val="1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eastAsia="宋体" w:hAnsiTheme="minorEastAsia" w:cstheme="minorEastAsia"/>
                <w:kern w:val="0"/>
                <w:sz w:val="22"/>
              </w:rPr>
            </w:pPr>
            <w:r>
              <w:rPr>
                <w:rFonts w:ascii="Arial" w:eastAsia="宋体" w:hAnsi="Arial" w:cs="Arial"/>
                <w:b/>
                <w:bCs/>
                <w:color w:val="333333"/>
                <w:szCs w:val="21"/>
                <w:shd w:val="clear" w:color="auto" w:fill="FFFFFF"/>
              </w:rPr>
              <w:lastRenderedPageBreak/>
              <w:t>Ⅲ</w:t>
            </w:r>
            <w:r>
              <w:rPr>
                <w:rFonts w:ascii="Arial" w:eastAsia="宋体" w:hAnsi="Arial" w:cs="Arial" w:hint="eastAsia"/>
                <w:b/>
                <w:bCs/>
                <w:color w:val="333333"/>
                <w:szCs w:val="21"/>
                <w:shd w:val="clear" w:color="auto" w:fill="FFFFFF"/>
              </w:rPr>
              <w:t xml:space="preserve"> </w:t>
            </w:r>
            <w:r>
              <w:rPr>
                <w:rFonts w:ascii="Arial" w:eastAsia="宋体" w:hAnsi="Arial" w:cs="Arial" w:hint="eastAsia"/>
                <w:b/>
                <w:bCs/>
                <w:color w:val="333333"/>
                <w:szCs w:val="21"/>
                <w:shd w:val="clear" w:color="auto" w:fill="FFFFFF"/>
              </w:rPr>
              <w:t>市场体系：主要包括第三方治理和金融工具</w:t>
            </w:r>
            <w:r>
              <w:rPr>
                <w:rFonts w:ascii="Arial" w:eastAsia="宋体" w:hAnsi="Arial" w:cs="Arial" w:hint="eastAsia"/>
                <w:b/>
                <w:bCs/>
                <w:color w:val="333333"/>
                <w:szCs w:val="21"/>
                <w:shd w:val="clear" w:color="auto" w:fill="FFFFFF"/>
              </w:rPr>
              <w:t>2</w:t>
            </w:r>
            <w:r>
              <w:rPr>
                <w:rFonts w:ascii="Arial" w:eastAsia="宋体" w:hAnsi="Arial" w:cs="Arial" w:hint="eastAsia"/>
                <w:b/>
                <w:bCs/>
                <w:color w:val="333333"/>
                <w:szCs w:val="21"/>
                <w:shd w:val="clear" w:color="auto" w:fill="FFFFFF"/>
              </w:rPr>
              <w:t>个领域，共部署</w:t>
            </w:r>
            <w:r>
              <w:rPr>
                <w:rFonts w:ascii="Arial" w:eastAsia="宋体" w:hAnsi="Arial" w:cs="Arial" w:hint="eastAsia"/>
                <w:b/>
                <w:bCs/>
                <w:color w:val="333333"/>
                <w:szCs w:val="21"/>
                <w:shd w:val="clear" w:color="auto" w:fill="FFFFFF"/>
              </w:rPr>
              <w:t>7</w:t>
            </w:r>
            <w:r>
              <w:rPr>
                <w:rFonts w:ascii="Arial" w:eastAsia="宋体" w:hAnsi="Arial" w:cs="Arial" w:hint="eastAsia"/>
                <w:b/>
                <w:bCs/>
                <w:color w:val="333333"/>
                <w:szCs w:val="21"/>
                <w:shd w:val="clear" w:color="auto" w:fill="FFFFFF"/>
              </w:rPr>
              <w:t>项任务。</w:t>
            </w:r>
          </w:p>
        </w:tc>
      </w:tr>
      <w:tr w:rsidR="005A1ADB">
        <w:trPr>
          <w:gridAfter w:val="1"/>
          <w:wAfter w:w="7" w:type="pct"/>
          <w:trHeight w:val="270"/>
        </w:trPr>
        <w:tc>
          <w:tcPr>
            <w:tcW w:w="385" w:type="pct"/>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序号</w:t>
            </w:r>
          </w:p>
        </w:tc>
        <w:tc>
          <w:tcPr>
            <w:tcW w:w="1215" w:type="pct"/>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任务清单</w:t>
            </w:r>
          </w:p>
        </w:tc>
        <w:tc>
          <w:tcPr>
            <w:tcW w:w="1019"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预期目标</w:t>
            </w:r>
          </w:p>
        </w:tc>
        <w:tc>
          <w:tcPr>
            <w:tcW w:w="647" w:type="pct"/>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责任主体</w:t>
            </w:r>
          </w:p>
        </w:tc>
        <w:tc>
          <w:tcPr>
            <w:tcW w:w="408" w:type="pct"/>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配合单位</w:t>
            </w:r>
          </w:p>
        </w:tc>
        <w:tc>
          <w:tcPr>
            <w:tcW w:w="1316"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完成时限</w:t>
            </w:r>
          </w:p>
        </w:tc>
      </w:tr>
      <w:tr w:rsidR="005A1ADB">
        <w:trPr>
          <w:gridAfter w:val="1"/>
          <w:wAfter w:w="7" w:type="pct"/>
          <w:trHeight w:val="155"/>
        </w:trPr>
        <w:tc>
          <w:tcPr>
            <w:tcW w:w="385" w:type="pct"/>
            <w:vMerge/>
            <w:tcBorders>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1215" w:type="pct"/>
            <w:gridSpan w:val="3"/>
            <w:vMerge/>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1019" w:type="pct"/>
            <w:gridSpan w:val="2"/>
            <w:vMerge/>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647" w:type="pct"/>
            <w:gridSpan w:val="3"/>
            <w:vMerge/>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408" w:type="pct"/>
            <w:gridSpan w:val="3"/>
            <w:vMerge/>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jc w:val="center"/>
              <w:rPr>
                <w:rFonts w:asciiTheme="minorEastAsia" w:hAnsiTheme="minorEastAsia" w:cstheme="minorEastAsia"/>
                <w:sz w:val="22"/>
              </w:rPr>
            </w:pPr>
          </w:p>
        </w:tc>
        <w:tc>
          <w:tcPr>
            <w:tcW w:w="534" w:type="pc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2022</w:t>
            </w:r>
            <w:r>
              <w:rPr>
                <w:rFonts w:asciiTheme="minorEastAsia" w:hAnsiTheme="minorEastAsia" w:cstheme="minorEastAsia" w:hint="eastAsia"/>
                <w:kern w:val="0"/>
                <w:sz w:val="22"/>
              </w:rPr>
              <w:t>年</w:t>
            </w:r>
          </w:p>
        </w:tc>
        <w:tc>
          <w:tcPr>
            <w:tcW w:w="782"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2023</w:t>
            </w:r>
            <w:r>
              <w:rPr>
                <w:rFonts w:asciiTheme="minorEastAsia" w:hAnsiTheme="minorEastAsia" w:cstheme="minorEastAsia" w:hint="eastAsia"/>
                <w:kern w:val="0"/>
                <w:sz w:val="22"/>
              </w:rPr>
              <w:t>年</w:t>
            </w:r>
          </w:p>
        </w:tc>
      </w:tr>
      <w:tr w:rsidR="005A1ADB">
        <w:trPr>
          <w:gridAfter w:val="1"/>
          <w:wAfter w:w="7" w:type="pct"/>
          <w:trHeight w:val="300"/>
        </w:trPr>
        <w:tc>
          <w:tcPr>
            <w:tcW w:w="4992" w:type="pct"/>
            <w:gridSpan w:val="15"/>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b/>
                <w:sz w:val="22"/>
              </w:rPr>
            </w:pPr>
            <w:r>
              <w:rPr>
                <w:rFonts w:ascii="Arial" w:eastAsia="宋体" w:hAnsi="Arial" w:cs="Arial"/>
                <w:b/>
                <w:bCs/>
                <w:color w:val="333333"/>
                <w:szCs w:val="21"/>
                <w:shd w:val="clear" w:color="auto" w:fill="FFFFFF"/>
              </w:rPr>
              <w:t>Ⅲ</w:t>
            </w:r>
            <w:r>
              <w:rPr>
                <w:rFonts w:ascii="Arial" w:eastAsia="宋体" w:hAnsi="Arial" w:cs="Arial" w:hint="eastAsia"/>
                <w:b/>
                <w:bCs/>
                <w:color w:val="333333"/>
                <w:szCs w:val="21"/>
                <w:shd w:val="clear" w:color="auto" w:fill="FFFFFF"/>
              </w:rPr>
              <w:t xml:space="preserve">-1 </w:t>
            </w:r>
            <w:r>
              <w:rPr>
                <w:rFonts w:asciiTheme="minorEastAsia" w:hAnsiTheme="minorEastAsia" w:cstheme="minorEastAsia" w:hint="eastAsia"/>
                <w:b/>
                <w:kern w:val="0"/>
                <w:sz w:val="22"/>
              </w:rPr>
              <w:t>第三方治理</w:t>
            </w:r>
          </w:p>
        </w:tc>
      </w:tr>
      <w:tr w:rsidR="005A1ADB">
        <w:trPr>
          <w:gridAfter w:val="1"/>
          <w:wAfter w:w="7" w:type="pct"/>
          <w:trHeight w:val="90"/>
        </w:trPr>
        <w:tc>
          <w:tcPr>
            <w:tcW w:w="385" w:type="pc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1</w:t>
            </w:r>
          </w:p>
        </w:tc>
        <w:tc>
          <w:tcPr>
            <w:tcW w:w="1215" w:type="pct"/>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依托现有危废处理公司，加快危险废物利用处置产业化、规模化、规范化步伐</w:t>
            </w:r>
          </w:p>
        </w:tc>
        <w:tc>
          <w:tcPr>
            <w:tcW w:w="1019" w:type="pct"/>
            <w:gridSpan w:val="2"/>
            <w:vMerge w:val="restar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sz w:val="22"/>
              </w:rPr>
              <w:t>培育一批骨干企业</w:t>
            </w:r>
          </w:p>
        </w:tc>
        <w:tc>
          <w:tcPr>
            <w:tcW w:w="647" w:type="pct"/>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w:t>
            </w:r>
            <w:r>
              <w:rPr>
                <w:rStyle w:val="font31"/>
                <w:rFonts w:asciiTheme="minorEastAsia" w:hAnsiTheme="minorEastAsia" w:cstheme="minorEastAsia" w:hint="eastAsia"/>
                <w:color w:val="auto"/>
              </w:rPr>
              <w:t>生态环境局</w:t>
            </w:r>
          </w:p>
          <w:p w:rsidR="005A1ADB" w:rsidRDefault="005A1ADB">
            <w:pPr>
              <w:jc w:val="center"/>
              <w:textAlignment w:val="center"/>
              <w:rPr>
                <w:rFonts w:asciiTheme="minorEastAsia" w:hAnsiTheme="minorEastAsia" w:cstheme="minorEastAsia"/>
                <w:sz w:val="22"/>
              </w:rPr>
            </w:pPr>
          </w:p>
        </w:tc>
        <w:tc>
          <w:tcPr>
            <w:tcW w:w="408" w:type="pct"/>
            <w:gridSpan w:val="3"/>
            <w:vMerge w:val="restar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sz w:val="22"/>
              </w:rPr>
            </w:pPr>
          </w:p>
        </w:tc>
        <w:tc>
          <w:tcPr>
            <w:tcW w:w="534" w:type="pc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市场调研</w:t>
            </w:r>
          </w:p>
        </w:tc>
        <w:tc>
          <w:tcPr>
            <w:tcW w:w="782" w:type="pct"/>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Style w:val="font31"/>
                <w:rFonts w:asciiTheme="minorEastAsia" w:hAnsiTheme="minorEastAsia" w:cstheme="minorEastAsia" w:hint="eastAsia"/>
                <w:color w:val="auto"/>
              </w:rPr>
              <w:t>试点扶持</w:t>
            </w:r>
          </w:p>
        </w:tc>
      </w:tr>
      <w:tr w:rsidR="005A1ADB">
        <w:trPr>
          <w:gridAfter w:val="1"/>
          <w:wAfter w:w="7" w:type="pct"/>
          <w:trHeight w:val="1094"/>
        </w:trPr>
        <w:tc>
          <w:tcPr>
            <w:tcW w:w="385"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Style w:val="font31"/>
                <w:rFonts w:asciiTheme="minorEastAsia" w:hAnsiTheme="minorEastAsia" w:cstheme="minorEastAsia" w:hint="eastAsia"/>
                <w:color w:val="auto"/>
              </w:rPr>
              <w:t>2</w:t>
            </w:r>
          </w:p>
        </w:tc>
        <w:tc>
          <w:tcPr>
            <w:tcW w:w="1215" w:type="pct"/>
            <w:gridSpan w:val="3"/>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扶持本地秸秆收储利用企业，引进龙头企业示范项目</w:t>
            </w:r>
          </w:p>
        </w:tc>
        <w:tc>
          <w:tcPr>
            <w:tcW w:w="1019" w:type="pct"/>
            <w:gridSpan w:val="2"/>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sz w:val="22"/>
              </w:rPr>
            </w:pPr>
          </w:p>
        </w:tc>
        <w:tc>
          <w:tcPr>
            <w:tcW w:w="647" w:type="pct"/>
            <w:gridSpan w:val="3"/>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市农业农村局</w:t>
            </w:r>
          </w:p>
        </w:tc>
        <w:tc>
          <w:tcPr>
            <w:tcW w:w="408" w:type="pct"/>
            <w:gridSpan w:val="3"/>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sz w:val="22"/>
              </w:rPr>
            </w:pPr>
          </w:p>
        </w:tc>
        <w:tc>
          <w:tcPr>
            <w:tcW w:w="534"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开展企业调研</w:t>
            </w:r>
          </w:p>
        </w:tc>
        <w:tc>
          <w:tcPr>
            <w:tcW w:w="782" w:type="pct"/>
            <w:gridSpan w:val="2"/>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培育一批秸秆收储利用骨干企业</w:t>
            </w:r>
          </w:p>
        </w:tc>
      </w:tr>
      <w:tr w:rsidR="005A1ADB">
        <w:trPr>
          <w:gridAfter w:val="1"/>
          <w:wAfter w:w="7" w:type="pct"/>
          <w:trHeight w:val="953"/>
        </w:trPr>
        <w:tc>
          <w:tcPr>
            <w:tcW w:w="385" w:type="pc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Style w:val="font31"/>
                <w:rFonts w:asciiTheme="minorEastAsia" w:hAnsiTheme="minorEastAsia" w:cstheme="minorEastAsia" w:hint="eastAsia"/>
                <w:color w:val="auto"/>
              </w:rPr>
              <w:t>3</w:t>
            </w:r>
          </w:p>
        </w:tc>
        <w:tc>
          <w:tcPr>
            <w:tcW w:w="1215" w:type="pct"/>
            <w:gridSpan w:val="3"/>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探索与推广“互联网</w:t>
            </w:r>
            <w:r>
              <w:rPr>
                <w:rStyle w:val="font31"/>
                <w:rFonts w:asciiTheme="minorEastAsia" w:hAnsiTheme="minorEastAsia" w:cstheme="minorEastAsia" w:hint="eastAsia"/>
                <w:color w:val="auto"/>
              </w:rPr>
              <w:t>+</w:t>
            </w:r>
            <w:r>
              <w:rPr>
                <w:rStyle w:val="font31"/>
                <w:rFonts w:asciiTheme="minorEastAsia" w:hAnsiTheme="minorEastAsia" w:cstheme="minorEastAsia" w:hint="eastAsia"/>
                <w:color w:val="auto"/>
              </w:rPr>
              <w:t>”</w:t>
            </w:r>
            <w:r>
              <w:rPr>
                <w:rFonts w:asciiTheme="minorEastAsia" w:hAnsiTheme="minorEastAsia" w:cstheme="minorEastAsia" w:hint="eastAsia"/>
                <w:kern w:val="0"/>
                <w:sz w:val="22"/>
              </w:rPr>
              <w:t>等新型回收手段</w:t>
            </w:r>
          </w:p>
        </w:tc>
        <w:tc>
          <w:tcPr>
            <w:tcW w:w="1019" w:type="pct"/>
            <w:gridSpan w:val="2"/>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结合技术发展前沿推广多样回收手段，方便消费者配合提高回收率</w:t>
            </w:r>
          </w:p>
        </w:tc>
        <w:tc>
          <w:tcPr>
            <w:tcW w:w="647" w:type="pct"/>
            <w:gridSpan w:val="3"/>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sz w:val="22"/>
              </w:rPr>
              <w:t>市城市管理局</w:t>
            </w:r>
          </w:p>
        </w:tc>
        <w:tc>
          <w:tcPr>
            <w:tcW w:w="408" w:type="pct"/>
            <w:gridSpan w:val="3"/>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sz w:val="22"/>
              </w:rPr>
            </w:pPr>
          </w:p>
        </w:tc>
        <w:tc>
          <w:tcPr>
            <w:tcW w:w="534" w:type="pc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推广回收新模式</w:t>
            </w:r>
          </w:p>
        </w:tc>
        <w:tc>
          <w:tcPr>
            <w:tcW w:w="782" w:type="pct"/>
            <w:gridSpan w:val="2"/>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进一步探索其他新型回收手段</w:t>
            </w:r>
          </w:p>
        </w:tc>
      </w:tr>
      <w:tr w:rsidR="005A1ADB">
        <w:trPr>
          <w:gridAfter w:val="1"/>
          <w:wAfter w:w="7" w:type="pct"/>
          <w:trHeight w:val="300"/>
        </w:trPr>
        <w:tc>
          <w:tcPr>
            <w:tcW w:w="4992" w:type="pct"/>
            <w:gridSpan w:val="1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tabs>
                <w:tab w:val="left" w:pos="3360"/>
              </w:tabs>
              <w:jc w:val="left"/>
              <w:textAlignment w:val="center"/>
              <w:rPr>
                <w:rFonts w:asciiTheme="minorEastAsia" w:hAnsiTheme="minorEastAsia" w:cstheme="minorEastAsia"/>
                <w:b/>
                <w:sz w:val="22"/>
              </w:rPr>
            </w:pPr>
            <w:r>
              <w:rPr>
                <w:rFonts w:ascii="Arial" w:eastAsia="宋体" w:hAnsi="Arial" w:cs="Arial"/>
                <w:b/>
                <w:bCs/>
                <w:color w:val="333333"/>
                <w:szCs w:val="21"/>
                <w:shd w:val="clear" w:color="auto" w:fill="FFFFFF"/>
              </w:rPr>
              <w:t>Ⅲ</w:t>
            </w:r>
            <w:r>
              <w:rPr>
                <w:rFonts w:ascii="Arial" w:eastAsia="宋体" w:hAnsi="Arial" w:cs="Arial" w:hint="eastAsia"/>
                <w:b/>
                <w:bCs/>
                <w:color w:val="333333"/>
                <w:szCs w:val="21"/>
                <w:shd w:val="clear" w:color="auto" w:fill="FFFFFF"/>
              </w:rPr>
              <w:t xml:space="preserve">-2 </w:t>
            </w:r>
            <w:r>
              <w:rPr>
                <w:rStyle w:val="font31"/>
                <w:rFonts w:asciiTheme="minorEastAsia" w:hAnsiTheme="minorEastAsia" w:cstheme="minorEastAsia" w:hint="eastAsia"/>
                <w:b/>
                <w:color w:val="auto"/>
              </w:rPr>
              <w:t>金融工具</w:t>
            </w:r>
          </w:p>
        </w:tc>
      </w:tr>
      <w:tr w:rsidR="005A1ADB">
        <w:trPr>
          <w:gridAfter w:val="1"/>
          <w:wAfter w:w="7" w:type="pct"/>
          <w:trHeight w:val="2318"/>
        </w:trPr>
        <w:tc>
          <w:tcPr>
            <w:tcW w:w="385" w:type="pc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Style w:val="font31"/>
                <w:rFonts w:asciiTheme="minorEastAsia" w:hAnsiTheme="minorEastAsia" w:cstheme="minorEastAsia" w:hint="eastAsia"/>
                <w:color w:val="auto"/>
              </w:rPr>
              <w:t>1</w:t>
            </w:r>
          </w:p>
        </w:tc>
        <w:tc>
          <w:tcPr>
            <w:tcW w:w="1215"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针对秸秆和畜禽粪污等农业废弃物收集处置，探索绿色信贷等金融支持政策</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制定相关政策，推进相关项目落地实施，提升农业废弃物利用水平</w:t>
            </w:r>
          </w:p>
        </w:tc>
        <w:tc>
          <w:tcPr>
            <w:tcW w:w="647" w:type="pct"/>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市农业农村局、市畜牧局、</w:t>
            </w:r>
            <w:r>
              <w:rPr>
                <w:rFonts w:asciiTheme="minorEastAsia" w:hAnsiTheme="minorEastAsia" w:cstheme="minorEastAsia" w:hint="eastAsia"/>
                <w:sz w:val="22"/>
              </w:rPr>
              <w:t>市税务局、人民银行、吉林银保监局、市金融办</w:t>
            </w: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sz w:val="22"/>
              </w:rPr>
            </w:pPr>
          </w:p>
        </w:tc>
        <w:tc>
          <w:tcPr>
            <w:tcW w:w="53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完善相关金融配套政策，绿色信贷达到一定规模</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left"/>
              <w:textAlignment w:val="center"/>
              <w:rPr>
                <w:rFonts w:asciiTheme="minorEastAsia" w:hAnsiTheme="minorEastAsia" w:cstheme="minorEastAsia"/>
                <w:sz w:val="22"/>
              </w:rPr>
            </w:pPr>
            <w:r>
              <w:rPr>
                <w:rFonts w:asciiTheme="minorEastAsia" w:hAnsiTheme="minorEastAsia" w:cstheme="minorEastAsia" w:hint="eastAsia"/>
                <w:kern w:val="0"/>
                <w:sz w:val="22"/>
              </w:rPr>
              <w:t>持续推进</w:t>
            </w:r>
          </w:p>
        </w:tc>
      </w:tr>
      <w:tr w:rsidR="005A1ADB">
        <w:trPr>
          <w:gridAfter w:val="1"/>
          <w:wAfter w:w="7" w:type="pct"/>
          <w:trHeight w:val="1915"/>
        </w:trPr>
        <w:tc>
          <w:tcPr>
            <w:tcW w:w="385" w:type="pc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sz w:val="22"/>
              </w:rPr>
              <w:lastRenderedPageBreak/>
              <w:t>2</w:t>
            </w:r>
          </w:p>
        </w:tc>
        <w:tc>
          <w:tcPr>
            <w:tcW w:w="1215" w:type="pct"/>
            <w:gridSpan w:val="3"/>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设立固体废物处理处置项目储备库</w:t>
            </w:r>
          </w:p>
        </w:tc>
        <w:tc>
          <w:tcPr>
            <w:tcW w:w="1019" w:type="pct"/>
            <w:gridSpan w:val="2"/>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加大固体废物综合利用和危险废物处置项目的征集，根据项目成熟度，纳入项目储备库，积极协调上级部门争取项目资金支持。</w:t>
            </w:r>
          </w:p>
        </w:tc>
        <w:tc>
          <w:tcPr>
            <w:tcW w:w="647" w:type="pct"/>
            <w:gridSpan w:val="3"/>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w:t>
            </w:r>
            <w:r>
              <w:rPr>
                <w:rStyle w:val="font31"/>
                <w:rFonts w:asciiTheme="minorEastAsia" w:hAnsiTheme="minorEastAsia" w:cstheme="minorEastAsia" w:hint="eastAsia"/>
                <w:color w:val="auto"/>
              </w:rPr>
              <w:t>生态环境局</w:t>
            </w:r>
          </w:p>
          <w:p w:rsidR="005A1ADB" w:rsidRDefault="005A1ADB">
            <w:pPr>
              <w:jc w:val="center"/>
              <w:textAlignment w:val="center"/>
              <w:rPr>
                <w:rFonts w:asciiTheme="minorEastAsia" w:hAnsiTheme="minorEastAsia" w:cstheme="minorEastAsia"/>
                <w:sz w:val="22"/>
              </w:rPr>
            </w:pPr>
          </w:p>
        </w:tc>
        <w:tc>
          <w:tcPr>
            <w:tcW w:w="408" w:type="pct"/>
            <w:gridSpan w:val="3"/>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5A1ADB">
            <w:pPr>
              <w:rPr>
                <w:rFonts w:asciiTheme="minorEastAsia" w:hAnsiTheme="minorEastAsia" w:cstheme="minorEastAsia"/>
                <w:sz w:val="22"/>
              </w:rPr>
            </w:pPr>
          </w:p>
        </w:tc>
        <w:tc>
          <w:tcPr>
            <w:tcW w:w="534" w:type="pc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储备一批成熟固体废物项目，重点项目支持有进展</w:t>
            </w:r>
          </w:p>
        </w:tc>
        <w:tc>
          <w:tcPr>
            <w:tcW w:w="782" w:type="pct"/>
            <w:gridSpan w:val="2"/>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持续推进</w:t>
            </w:r>
          </w:p>
        </w:tc>
      </w:tr>
      <w:tr w:rsidR="005A1ADB">
        <w:trPr>
          <w:gridAfter w:val="1"/>
          <w:wAfter w:w="7" w:type="pct"/>
          <w:trHeight w:val="1523"/>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sz w:val="22"/>
              </w:rPr>
              <w:t>3</w:t>
            </w:r>
          </w:p>
        </w:tc>
        <w:tc>
          <w:tcPr>
            <w:tcW w:w="1215"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推行环境污染责任保险</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将危险废物收集、运输、贮存、利用和处理处置等重点高环境风险企业纳入环境污染责任保险的强制性参保范围</w:t>
            </w:r>
          </w:p>
        </w:tc>
        <w:tc>
          <w:tcPr>
            <w:tcW w:w="647"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sz w:val="22"/>
              </w:rPr>
            </w:pPr>
            <w:r>
              <w:rPr>
                <w:rFonts w:asciiTheme="minorEastAsia" w:hAnsiTheme="minorEastAsia" w:cstheme="minorEastAsia" w:hint="eastAsia"/>
                <w:kern w:val="0"/>
                <w:sz w:val="22"/>
              </w:rPr>
              <w:t>市</w:t>
            </w:r>
            <w:r>
              <w:rPr>
                <w:rStyle w:val="font31"/>
                <w:rFonts w:asciiTheme="minorEastAsia" w:hAnsiTheme="minorEastAsia" w:cstheme="minorEastAsia" w:hint="eastAsia"/>
                <w:color w:val="auto"/>
              </w:rPr>
              <w:t>生态环境局</w:t>
            </w:r>
          </w:p>
          <w:p w:rsidR="005A1ADB" w:rsidRDefault="005A1ADB">
            <w:pPr>
              <w:widowControl/>
              <w:jc w:val="center"/>
              <w:textAlignment w:val="center"/>
              <w:rPr>
                <w:rFonts w:asciiTheme="minorEastAsia" w:hAnsiTheme="minorEastAsia" w:cstheme="minorEastAsia"/>
                <w:kern w:val="0"/>
                <w:sz w:val="22"/>
              </w:rPr>
            </w:pP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市交通运输局</w:t>
            </w:r>
          </w:p>
        </w:tc>
        <w:tc>
          <w:tcPr>
            <w:tcW w:w="53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sz w:val="22"/>
              </w:rPr>
              <w:t>试点调研</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kern w:val="0"/>
                <w:sz w:val="22"/>
              </w:rPr>
              <w:t>持续推进</w:t>
            </w:r>
          </w:p>
        </w:tc>
      </w:tr>
      <w:tr w:rsidR="005A1ADB">
        <w:trPr>
          <w:gridAfter w:val="1"/>
          <w:wAfter w:w="7" w:type="pct"/>
          <w:trHeight w:val="1120"/>
        </w:trPr>
        <w:tc>
          <w:tcPr>
            <w:tcW w:w="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sz w:val="22"/>
              </w:rPr>
              <w:t>4</w:t>
            </w:r>
          </w:p>
        </w:tc>
        <w:tc>
          <w:tcPr>
            <w:tcW w:w="1215"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落实现有资源综合利用增值税等税收优惠政策</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激励固体废物处理产业发展。</w:t>
            </w:r>
          </w:p>
        </w:tc>
        <w:tc>
          <w:tcPr>
            <w:tcW w:w="647"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widowControl/>
              <w:jc w:val="center"/>
              <w:textAlignment w:val="center"/>
              <w:rPr>
                <w:rFonts w:asciiTheme="minorEastAsia" w:hAnsiTheme="minorEastAsia" w:cstheme="minorEastAsia"/>
                <w:kern w:val="0"/>
                <w:sz w:val="22"/>
              </w:rPr>
            </w:pPr>
            <w:r>
              <w:rPr>
                <w:rFonts w:asciiTheme="minorEastAsia" w:hAnsiTheme="minorEastAsia" w:cstheme="minorEastAsia" w:hint="eastAsia"/>
                <w:kern w:val="0"/>
                <w:sz w:val="22"/>
              </w:rPr>
              <w:t>市税务局</w:t>
            </w:r>
          </w:p>
        </w:tc>
        <w:tc>
          <w:tcPr>
            <w:tcW w:w="408" w:type="pct"/>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rPr>
                <w:rFonts w:asciiTheme="minorEastAsia" w:hAnsiTheme="minorEastAsia" w:cstheme="minorEastAsia"/>
                <w:sz w:val="22"/>
              </w:rPr>
            </w:pPr>
            <w:r>
              <w:rPr>
                <w:rFonts w:asciiTheme="minorEastAsia" w:hAnsiTheme="minorEastAsia" w:cstheme="minorEastAsia" w:hint="eastAsia"/>
                <w:sz w:val="22"/>
              </w:rPr>
              <w:t>市财政局</w:t>
            </w:r>
          </w:p>
        </w:tc>
        <w:tc>
          <w:tcPr>
            <w:tcW w:w="53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sz w:val="22"/>
              </w:rPr>
            </w:pPr>
            <w:r>
              <w:rPr>
                <w:rFonts w:asciiTheme="minorEastAsia" w:hAnsiTheme="minorEastAsia" w:cstheme="minorEastAsia" w:hint="eastAsia"/>
                <w:sz w:val="22"/>
              </w:rPr>
              <w:t>落实</w:t>
            </w:r>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1ADB" w:rsidRDefault="000B6ECF">
            <w:pPr>
              <w:jc w:val="center"/>
              <w:rPr>
                <w:rFonts w:asciiTheme="minorEastAsia" w:hAnsiTheme="minorEastAsia" w:cstheme="minorEastAsia"/>
                <w:kern w:val="0"/>
                <w:sz w:val="22"/>
              </w:rPr>
            </w:pPr>
            <w:r>
              <w:rPr>
                <w:rFonts w:asciiTheme="minorEastAsia" w:hAnsiTheme="minorEastAsia" w:cstheme="minorEastAsia" w:hint="eastAsia"/>
                <w:sz w:val="22"/>
              </w:rPr>
              <w:t>落实</w:t>
            </w:r>
          </w:p>
        </w:tc>
      </w:tr>
    </w:tbl>
    <w:p w:rsidR="005A1ADB" w:rsidRDefault="005A1ADB" w:rsidP="00033A19">
      <w:pPr>
        <w:adjustRightInd w:val="0"/>
        <w:snapToGrid w:val="0"/>
        <w:spacing w:line="360" w:lineRule="auto"/>
        <w:ind w:firstLineChars="196" w:firstLine="549"/>
        <w:rPr>
          <w:sz w:val="28"/>
          <w:szCs w:val="28"/>
        </w:rPr>
        <w:sectPr w:rsidR="005A1ADB">
          <w:pgSz w:w="16838" w:h="11906" w:orient="landscape"/>
          <w:pgMar w:top="1800" w:right="1440" w:bottom="1800" w:left="1440" w:header="851" w:footer="992" w:gutter="0"/>
          <w:cols w:space="425"/>
          <w:docGrid w:type="lines" w:linePitch="312"/>
        </w:sectPr>
      </w:pPr>
    </w:p>
    <w:p w:rsidR="005A1ADB" w:rsidRDefault="000B6ECF">
      <w:pPr>
        <w:jc w:val="left"/>
        <w:outlineLvl w:val="0"/>
        <w:rPr>
          <w:rStyle w:val="af"/>
          <w:rFonts w:ascii="宋体" w:hAnsi="宋体" w:cs="宋体"/>
          <w:sz w:val="28"/>
          <w:szCs w:val="28"/>
        </w:rPr>
      </w:pPr>
      <w:bookmarkStart w:id="155" w:name="_Toc111200005"/>
      <w:bookmarkStart w:id="156" w:name="_Toc115079288"/>
      <w:r>
        <w:rPr>
          <w:rStyle w:val="af"/>
          <w:rFonts w:ascii="宋体" w:hAnsi="宋体" w:cs="宋体" w:hint="eastAsia"/>
          <w:sz w:val="28"/>
          <w:szCs w:val="28"/>
        </w:rPr>
        <w:lastRenderedPageBreak/>
        <w:t>附件</w:t>
      </w:r>
      <w:r>
        <w:rPr>
          <w:rStyle w:val="af"/>
          <w:rFonts w:ascii="宋体" w:hAnsi="宋体" w:cs="宋体" w:hint="eastAsia"/>
          <w:sz w:val="28"/>
          <w:szCs w:val="28"/>
        </w:rPr>
        <w:t xml:space="preserve">4                              </w:t>
      </w:r>
      <w:r>
        <w:rPr>
          <w:rStyle w:val="af"/>
          <w:rFonts w:ascii="宋体" w:hAnsi="宋体" w:cs="宋体" w:hint="eastAsia"/>
          <w:sz w:val="28"/>
          <w:szCs w:val="28"/>
        </w:rPr>
        <w:t>“无废城市”建设项目清单</w:t>
      </w:r>
      <w:bookmarkEnd w:id="153"/>
      <w:bookmarkEnd w:id="154"/>
      <w:bookmarkEnd w:id="155"/>
      <w:bookmarkEnd w:id="156"/>
    </w:p>
    <w:tbl>
      <w:tblPr>
        <w:tblW w:w="0" w:type="auto"/>
        <w:tblLayout w:type="fixed"/>
        <w:tblLook w:val="04A0"/>
      </w:tblPr>
      <w:tblGrid>
        <w:gridCol w:w="522"/>
        <w:gridCol w:w="655"/>
        <w:gridCol w:w="821"/>
        <w:gridCol w:w="1655"/>
        <w:gridCol w:w="3060"/>
        <w:gridCol w:w="1190"/>
        <w:gridCol w:w="1333"/>
        <w:gridCol w:w="1500"/>
        <w:gridCol w:w="1310"/>
        <w:gridCol w:w="1012"/>
        <w:gridCol w:w="1116"/>
      </w:tblGrid>
      <w:tr w:rsidR="005A1ADB">
        <w:trPr>
          <w:trHeight w:val="1228"/>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序号</w:t>
            </w:r>
          </w:p>
        </w:tc>
        <w:tc>
          <w:tcPr>
            <w:tcW w:w="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项目大类</w:t>
            </w:r>
          </w:p>
        </w:tc>
        <w:tc>
          <w:tcPr>
            <w:tcW w:w="8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项目分类</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项目名称</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主要建设内容及规模</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属性</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建设主体</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建设地点</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建设期限</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b/>
                <w:bCs/>
                <w:color w:val="000000"/>
                <w:kern w:val="0"/>
                <w:sz w:val="24"/>
                <w:szCs w:val="24"/>
              </w:rPr>
              <w:t>总投资（万元）</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b/>
                <w:bCs/>
                <w:color w:val="000000"/>
                <w:kern w:val="0"/>
                <w:sz w:val="24"/>
                <w:szCs w:val="24"/>
              </w:rPr>
              <w:t>责任单位</w:t>
            </w:r>
          </w:p>
        </w:tc>
      </w:tr>
      <w:tr w:rsidR="005A1ADB">
        <w:trPr>
          <w:trHeight w:val="9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w:t>
            </w:r>
          </w:p>
        </w:tc>
        <w:tc>
          <w:tcPr>
            <w:tcW w:w="65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固体废物源头减量</w:t>
            </w:r>
          </w:p>
        </w:tc>
        <w:tc>
          <w:tcPr>
            <w:tcW w:w="8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建筑业源头减量</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装配式装修产品生产园项目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每年可装修住宅约</w:t>
            </w:r>
            <w:r>
              <w:rPr>
                <w:rFonts w:ascii="宋体" w:eastAsia="宋体" w:hAnsi="宋体" w:cs="宋体"/>
                <w:color w:val="000000"/>
                <w:kern w:val="0"/>
                <w:sz w:val="24"/>
                <w:szCs w:val="24"/>
              </w:rPr>
              <w:t>5</w:t>
            </w:r>
            <w:r>
              <w:rPr>
                <w:rFonts w:ascii="宋体" w:eastAsia="宋体" w:hAnsi="宋体" w:cs="宋体"/>
                <w:color w:val="000000"/>
                <w:kern w:val="0"/>
                <w:sz w:val="24"/>
                <w:szCs w:val="24"/>
              </w:rPr>
              <w:t>万套，预计产值</w:t>
            </w:r>
            <w:r>
              <w:rPr>
                <w:rFonts w:ascii="宋体" w:eastAsia="宋体" w:hAnsi="宋体" w:cs="宋体"/>
                <w:color w:val="000000"/>
                <w:kern w:val="0"/>
                <w:sz w:val="24"/>
                <w:szCs w:val="24"/>
              </w:rPr>
              <w:t>4.4</w:t>
            </w:r>
            <w:r>
              <w:rPr>
                <w:rFonts w:ascii="宋体" w:eastAsia="宋体" w:hAnsi="宋体" w:cs="宋体"/>
                <w:color w:val="000000"/>
                <w:kern w:val="0"/>
                <w:sz w:val="24"/>
                <w:szCs w:val="24"/>
              </w:rPr>
              <w:t>亿元</w:t>
            </w:r>
            <w:r>
              <w:rPr>
                <w:rFonts w:ascii="宋体" w:eastAsia="宋体" w:hAnsi="宋体" w:cs="宋体"/>
                <w:color w:val="000000"/>
                <w:kern w:val="0"/>
                <w:sz w:val="24"/>
                <w:szCs w:val="24"/>
              </w:rPr>
              <w:t>/</w:t>
            </w:r>
            <w:r>
              <w:rPr>
                <w:rFonts w:ascii="宋体" w:eastAsia="宋体" w:hAnsi="宋体" w:cs="宋体"/>
                <w:color w:val="000000"/>
                <w:kern w:val="0"/>
                <w:sz w:val="24"/>
                <w:szCs w:val="24"/>
              </w:rPr>
              <w:t>年，上缴税金</w:t>
            </w:r>
            <w:r>
              <w:rPr>
                <w:rFonts w:ascii="宋体" w:eastAsia="宋体" w:hAnsi="宋体" w:cs="宋体"/>
                <w:color w:val="000000"/>
                <w:kern w:val="0"/>
                <w:sz w:val="24"/>
                <w:szCs w:val="24"/>
              </w:rPr>
              <w:t>2000</w:t>
            </w:r>
            <w:r>
              <w:rPr>
                <w:rFonts w:ascii="宋体" w:eastAsia="宋体" w:hAnsi="宋体" w:cs="宋体"/>
                <w:color w:val="000000"/>
                <w:kern w:val="0"/>
                <w:sz w:val="24"/>
                <w:szCs w:val="24"/>
              </w:rPr>
              <w:t>万元</w:t>
            </w:r>
            <w:r>
              <w:rPr>
                <w:rFonts w:ascii="宋体" w:eastAsia="宋体" w:hAnsi="宋体" w:cs="宋体"/>
                <w:color w:val="000000"/>
                <w:kern w:val="0"/>
                <w:sz w:val="24"/>
                <w:szCs w:val="24"/>
              </w:rPr>
              <w:t>/</w:t>
            </w:r>
            <w:r>
              <w:rPr>
                <w:rFonts w:ascii="宋体" w:eastAsia="宋体" w:hAnsi="宋体" w:cs="宋体"/>
                <w:color w:val="000000"/>
                <w:kern w:val="0"/>
                <w:sz w:val="24"/>
                <w:szCs w:val="24"/>
              </w:rPr>
              <w:t>年；总投资</w:t>
            </w:r>
            <w:r>
              <w:rPr>
                <w:rFonts w:ascii="宋体" w:eastAsia="宋体" w:hAnsi="宋体" w:cs="宋体"/>
                <w:color w:val="000000"/>
                <w:kern w:val="0"/>
                <w:sz w:val="24"/>
                <w:szCs w:val="24"/>
              </w:rPr>
              <w:t>15300</w:t>
            </w:r>
            <w:r>
              <w:rPr>
                <w:rFonts w:ascii="宋体" w:eastAsia="宋体" w:hAnsi="宋体" w:cs="宋体"/>
                <w:color w:val="000000"/>
                <w:kern w:val="0"/>
                <w:sz w:val="24"/>
                <w:szCs w:val="24"/>
              </w:rPr>
              <w:t>万元。</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润德集团</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中韩（长春）国际合作示范区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2021-2024</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50700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长春市建委</w:t>
            </w:r>
          </w:p>
        </w:tc>
      </w:tr>
      <w:tr w:rsidR="005A1ADB">
        <w:trPr>
          <w:trHeight w:val="6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生活领域源头减量</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永春燃气锅炉清洁供暖项目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建设</w:t>
            </w:r>
            <w:r>
              <w:rPr>
                <w:rFonts w:ascii="宋体" w:eastAsia="宋体" w:hAnsi="宋体" w:cs="宋体"/>
                <w:color w:val="000000"/>
                <w:kern w:val="0"/>
                <w:sz w:val="24"/>
                <w:szCs w:val="24"/>
              </w:rPr>
              <w:t>2</w:t>
            </w:r>
            <w:r>
              <w:rPr>
                <w:rFonts w:ascii="宋体" w:eastAsia="宋体" w:hAnsi="宋体" w:cs="宋体"/>
                <w:color w:val="000000"/>
                <w:kern w:val="0"/>
                <w:sz w:val="24"/>
                <w:szCs w:val="24"/>
              </w:rPr>
              <w:t>台</w:t>
            </w:r>
            <w:r>
              <w:rPr>
                <w:rFonts w:ascii="宋体" w:eastAsia="宋体" w:hAnsi="宋体" w:cs="宋体"/>
                <w:color w:val="000000"/>
                <w:kern w:val="0"/>
                <w:sz w:val="24"/>
                <w:szCs w:val="24"/>
              </w:rPr>
              <w:t>29</w:t>
            </w:r>
            <w:r>
              <w:rPr>
                <w:rFonts w:ascii="宋体" w:eastAsia="宋体" w:hAnsi="宋体" w:cs="宋体"/>
                <w:color w:val="000000"/>
                <w:kern w:val="0"/>
                <w:sz w:val="24"/>
                <w:szCs w:val="24"/>
              </w:rPr>
              <w:t>兆瓦</w:t>
            </w:r>
            <w:r>
              <w:rPr>
                <w:rFonts w:ascii="宋体" w:eastAsia="宋体" w:hAnsi="宋体" w:cs="宋体"/>
                <w:color w:val="000000"/>
                <w:kern w:val="0"/>
                <w:sz w:val="24"/>
                <w:szCs w:val="24"/>
              </w:rPr>
              <w:t>+3</w:t>
            </w:r>
            <w:r>
              <w:rPr>
                <w:rFonts w:ascii="宋体" w:eastAsia="宋体" w:hAnsi="宋体" w:cs="宋体"/>
                <w:color w:val="000000"/>
                <w:kern w:val="0"/>
                <w:sz w:val="24"/>
                <w:szCs w:val="24"/>
              </w:rPr>
              <w:t>台</w:t>
            </w:r>
            <w:r>
              <w:rPr>
                <w:rFonts w:ascii="宋体" w:eastAsia="宋体" w:hAnsi="宋体" w:cs="宋体"/>
                <w:color w:val="000000"/>
                <w:kern w:val="0"/>
                <w:sz w:val="24"/>
                <w:szCs w:val="24"/>
              </w:rPr>
              <w:t>70</w:t>
            </w:r>
            <w:r>
              <w:rPr>
                <w:rFonts w:ascii="宋体" w:eastAsia="宋体" w:hAnsi="宋体" w:cs="宋体"/>
                <w:color w:val="000000"/>
                <w:kern w:val="0"/>
                <w:sz w:val="24"/>
                <w:szCs w:val="24"/>
              </w:rPr>
              <w:t>兆瓦</w:t>
            </w:r>
            <w:r>
              <w:rPr>
                <w:rFonts w:ascii="宋体" w:eastAsia="宋体" w:hAnsi="宋体" w:cs="宋体"/>
                <w:color w:val="000000"/>
                <w:kern w:val="0"/>
                <w:sz w:val="24"/>
                <w:szCs w:val="24"/>
              </w:rPr>
              <w:t>+3</w:t>
            </w:r>
            <w:r>
              <w:rPr>
                <w:rFonts w:ascii="宋体" w:eastAsia="宋体" w:hAnsi="宋体" w:cs="宋体"/>
                <w:color w:val="000000"/>
                <w:kern w:val="0"/>
                <w:sz w:val="24"/>
                <w:szCs w:val="24"/>
              </w:rPr>
              <w:t>台</w:t>
            </w:r>
            <w:r>
              <w:rPr>
                <w:rFonts w:ascii="宋体" w:eastAsia="宋体" w:hAnsi="宋体" w:cs="宋体"/>
                <w:color w:val="000000"/>
                <w:kern w:val="0"/>
                <w:sz w:val="24"/>
                <w:szCs w:val="24"/>
              </w:rPr>
              <w:t>116</w:t>
            </w:r>
            <w:r>
              <w:rPr>
                <w:rFonts w:ascii="宋体" w:eastAsia="宋体" w:hAnsi="宋体" w:cs="宋体"/>
                <w:color w:val="000000"/>
                <w:kern w:val="0"/>
                <w:sz w:val="24"/>
                <w:szCs w:val="24"/>
              </w:rPr>
              <w:t>兆瓦天然气热水锅炉。</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润德集团</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永春新城</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42000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长春市建委</w:t>
            </w:r>
          </w:p>
        </w:tc>
      </w:tr>
      <w:tr w:rsidR="005A1ADB">
        <w:trPr>
          <w:trHeight w:val="13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西新工业园区集中供热项目（黄缆供热项目）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color w:val="000000"/>
                <w:kern w:val="0"/>
                <w:sz w:val="24"/>
                <w:szCs w:val="24"/>
              </w:rPr>
              <w:t>台装机容量</w:t>
            </w:r>
            <w:r>
              <w:rPr>
                <w:rFonts w:ascii="宋体" w:eastAsia="宋体" w:hAnsi="宋体" w:cs="宋体"/>
                <w:color w:val="000000"/>
                <w:kern w:val="0"/>
                <w:sz w:val="24"/>
                <w:szCs w:val="24"/>
              </w:rPr>
              <w:t>29MW</w:t>
            </w:r>
            <w:r>
              <w:rPr>
                <w:rFonts w:ascii="宋体" w:eastAsia="宋体" w:hAnsi="宋体" w:cs="宋体"/>
                <w:color w:val="000000"/>
                <w:kern w:val="0"/>
                <w:sz w:val="24"/>
                <w:szCs w:val="24"/>
              </w:rPr>
              <w:t>生物质成型燃料往复炉排锅炉，供热面积</w:t>
            </w:r>
            <w:r>
              <w:rPr>
                <w:rFonts w:ascii="宋体" w:eastAsia="宋体" w:hAnsi="宋体" w:cs="宋体"/>
                <w:color w:val="000000"/>
                <w:kern w:val="0"/>
                <w:sz w:val="24"/>
                <w:szCs w:val="24"/>
              </w:rPr>
              <w:t>120</w:t>
            </w:r>
            <w:r>
              <w:rPr>
                <w:rFonts w:ascii="宋体" w:eastAsia="宋体" w:hAnsi="宋体" w:cs="宋体"/>
                <w:color w:val="000000"/>
                <w:kern w:val="0"/>
                <w:sz w:val="24"/>
                <w:szCs w:val="24"/>
              </w:rPr>
              <w:t>万平方米。该项目为西新工业园区、西一街区集中供热项目，位于集善路以北集德路以南建九街以东，占地</w:t>
            </w:r>
            <w:r>
              <w:rPr>
                <w:rFonts w:ascii="宋体" w:eastAsia="宋体" w:hAnsi="宋体" w:cs="宋体"/>
                <w:color w:val="000000"/>
                <w:kern w:val="0"/>
                <w:sz w:val="24"/>
                <w:szCs w:val="24"/>
              </w:rPr>
              <w:t>5</w:t>
            </w:r>
            <w:r>
              <w:rPr>
                <w:rFonts w:ascii="宋体" w:eastAsia="宋体" w:hAnsi="宋体" w:cs="宋体"/>
                <w:color w:val="000000"/>
                <w:kern w:val="0"/>
                <w:sz w:val="24"/>
                <w:szCs w:val="24"/>
              </w:rPr>
              <w:t>万平方米。建设规模分两期完成。首先建设两台</w:t>
            </w:r>
            <w:r>
              <w:rPr>
                <w:rFonts w:ascii="宋体" w:eastAsia="宋体" w:hAnsi="宋体" w:cs="宋体"/>
                <w:color w:val="000000"/>
                <w:kern w:val="0"/>
                <w:sz w:val="24"/>
                <w:szCs w:val="24"/>
              </w:rPr>
              <w:t>40</w:t>
            </w:r>
            <w:r>
              <w:rPr>
                <w:rFonts w:ascii="宋体" w:eastAsia="宋体" w:hAnsi="宋体" w:cs="宋体"/>
                <w:color w:val="000000"/>
                <w:kern w:val="0"/>
                <w:sz w:val="24"/>
                <w:szCs w:val="24"/>
              </w:rPr>
              <w:t>蒸吨热水锅炉，</w:t>
            </w:r>
            <w:r>
              <w:rPr>
                <w:rFonts w:ascii="宋体" w:eastAsia="宋体" w:hAnsi="宋体" w:cs="宋体"/>
                <w:color w:val="000000"/>
                <w:kern w:val="0"/>
                <w:sz w:val="24"/>
                <w:szCs w:val="24"/>
              </w:rPr>
              <w:t>2022</w:t>
            </w:r>
            <w:r>
              <w:rPr>
                <w:rFonts w:ascii="宋体" w:eastAsia="宋体" w:hAnsi="宋体" w:cs="宋体"/>
                <w:color w:val="000000"/>
                <w:kern w:val="0"/>
                <w:sz w:val="24"/>
                <w:szCs w:val="24"/>
              </w:rPr>
              <w:t>年完成供热，根据需要再行二期建设。供热方式为清洁能源生物质秸秆压块为原料。</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吉林省黄蓝热力工程有限公司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绿园区西新工业园区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12000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kern w:val="0"/>
                <w:sz w:val="24"/>
                <w:szCs w:val="24"/>
              </w:rPr>
              <w:t>绿园区</w:t>
            </w:r>
          </w:p>
        </w:tc>
      </w:tr>
      <w:tr w:rsidR="005A1ADB">
        <w:trPr>
          <w:trHeight w:val="97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lastRenderedPageBreak/>
              <w:t>4</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榆树市秀水镇生物质热电联产项目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新建</w:t>
            </w:r>
            <w:r>
              <w:rPr>
                <w:rFonts w:ascii="宋体" w:eastAsia="宋体" w:hAnsi="宋体" w:cs="宋体"/>
                <w:color w:val="000000"/>
                <w:kern w:val="0"/>
                <w:sz w:val="24"/>
                <w:szCs w:val="24"/>
              </w:rPr>
              <w:t>2</w:t>
            </w:r>
            <w:r>
              <w:rPr>
                <w:rFonts w:ascii="宋体" w:eastAsia="宋体" w:hAnsi="宋体" w:cs="宋体"/>
                <w:color w:val="000000"/>
                <w:kern w:val="0"/>
                <w:sz w:val="24"/>
                <w:szCs w:val="24"/>
              </w:rPr>
              <w:t>台</w:t>
            </w:r>
            <w:r>
              <w:rPr>
                <w:rFonts w:ascii="宋体" w:eastAsia="宋体" w:hAnsi="宋体" w:cs="宋体"/>
                <w:color w:val="000000"/>
                <w:kern w:val="0"/>
                <w:sz w:val="24"/>
                <w:szCs w:val="24"/>
              </w:rPr>
              <w:t>300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天生物质热解气化处理线，</w:t>
            </w:r>
            <w:r>
              <w:rPr>
                <w:rFonts w:ascii="宋体" w:eastAsia="宋体" w:hAnsi="宋体" w:cs="宋体"/>
                <w:color w:val="000000"/>
                <w:kern w:val="0"/>
                <w:sz w:val="24"/>
                <w:szCs w:val="24"/>
              </w:rPr>
              <w:t>2</w:t>
            </w:r>
            <w:r>
              <w:rPr>
                <w:rFonts w:ascii="宋体" w:eastAsia="宋体" w:hAnsi="宋体" w:cs="宋体"/>
                <w:color w:val="000000"/>
                <w:kern w:val="0"/>
                <w:sz w:val="24"/>
                <w:szCs w:val="24"/>
              </w:rPr>
              <w:t>台</w:t>
            </w:r>
            <w:r>
              <w:rPr>
                <w:rFonts w:ascii="宋体" w:eastAsia="宋体" w:hAnsi="宋体" w:cs="宋体"/>
                <w:color w:val="000000"/>
                <w:kern w:val="0"/>
                <w:sz w:val="24"/>
                <w:szCs w:val="24"/>
              </w:rPr>
              <w:t>55</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小时高温高压生物质锅炉，</w:t>
            </w:r>
            <w:r>
              <w:rPr>
                <w:rFonts w:ascii="宋体" w:eastAsia="宋体" w:hAnsi="宋体" w:cs="宋体"/>
                <w:color w:val="000000"/>
                <w:kern w:val="0"/>
                <w:sz w:val="24"/>
                <w:szCs w:val="24"/>
              </w:rPr>
              <w:t>1</w:t>
            </w:r>
            <w:r>
              <w:rPr>
                <w:rFonts w:ascii="宋体" w:eastAsia="宋体" w:hAnsi="宋体" w:cs="宋体"/>
                <w:color w:val="000000"/>
                <w:kern w:val="0"/>
                <w:sz w:val="24"/>
                <w:szCs w:val="24"/>
              </w:rPr>
              <w:t>台</w:t>
            </w:r>
            <w:r>
              <w:rPr>
                <w:rFonts w:ascii="宋体" w:eastAsia="宋体" w:hAnsi="宋体" w:cs="宋体"/>
                <w:color w:val="000000"/>
                <w:kern w:val="0"/>
                <w:sz w:val="24"/>
                <w:szCs w:val="24"/>
              </w:rPr>
              <w:t>30</w:t>
            </w:r>
            <w:r>
              <w:rPr>
                <w:rFonts w:ascii="宋体" w:eastAsia="宋体" w:hAnsi="宋体" w:cs="宋体"/>
                <w:color w:val="000000"/>
                <w:kern w:val="0"/>
                <w:sz w:val="24"/>
                <w:szCs w:val="24"/>
              </w:rPr>
              <w:t>兆瓦抽汽凝气式汽轮发电机组，同步配套建设烟气净化工艺系统。</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绿洁新能源科技榆树有限公司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39500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榆树市秀水政府</w:t>
            </w:r>
          </w:p>
        </w:tc>
      </w:tr>
      <w:tr w:rsidR="005A1ADB">
        <w:trPr>
          <w:trHeight w:val="73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5</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五棵树经济开发区生物质热电联产项目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新建一台</w:t>
            </w:r>
            <w:r>
              <w:rPr>
                <w:rFonts w:ascii="宋体" w:eastAsia="宋体" w:hAnsi="宋体" w:cs="宋体"/>
                <w:color w:val="000000"/>
                <w:kern w:val="0"/>
                <w:sz w:val="24"/>
                <w:szCs w:val="24"/>
              </w:rPr>
              <w:t>130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小时高温、高压生物质锅炉，一台</w:t>
            </w:r>
            <w:r>
              <w:rPr>
                <w:rFonts w:ascii="宋体" w:eastAsia="宋体" w:hAnsi="宋体" w:cs="宋体"/>
                <w:color w:val="000000"/>
                <w:kern w:val="0"/>
                <w:sz w:val="24"/>
                <w:szCs w:val="24"/>
              </w:rPr>
              <w:t>30</w:t>
            </w:r>
            <w:r>
              <w:rPr>
                <w:rFonts w:ascii="宋体" w:eastAsia="宋体" w:hAnsi="宋体" w:cs="宋体"/>
                <w:color w:val="000000"/>
                <w:kern w:val="0"/>
                <w:sz w:val="24"/>
                <w:szCs w:val="24"/>
              </w:rPr>
              <w:t>兆瓦抽汽凝气式汽轮发电机组，同步配套建设烟气净化工艺系统等。</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榆树新开能源有限公司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35500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榆树市五棵树经济开发区</w:t>
            </w:r>
          </w:p>
        </w:tc>
      </w:tr>
      <w:tr w:rsidR="005A1ADB">
        <w:trPr>
          <w:trHeight w:val="73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6</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中航新能源九台生物质热电联产项目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建设</w:t>
            </w:r>
            <w:r>
              <w:rPr>
                <w:rFonts w:ascii="宋体" w:eastAsia="宋体" w:hAnsi="宋体" w:cs="宋体"/>
                <w:color w:val="000000"/>
                <w:kern w:val="0"/>
                <w:sz w:val="24"/>
                <w:szCs w:val="24"/>
              </w:rPr>
              <w:t>1</w:t>
            </w:r>
            <w:r>
              <w:rPr>
                <w:rFonts w:ascii="宋体" w:eastAsia="宋体" w:hAnsi="宋体" w:cs="宋体"/>
                <w:color w:val="000000"/>
                <w:kern w:val="0"/>
                <w:sz w:val="24"/>
                <w:szCs w:val="24"/>
              </w:rPr>
              <w:t>台</w:t>
            </w:r>
            <w:r>
              <w:rPr>
                <w:rFonts w:ascii="宋体" w:eastAsia="宋体" w:hAnsi="宋体" w:cs="宋体"/>
                <w:color w:val="000000"/>
                <w:kern w:val="0"/>
                <w:sz w:val="24"/>
                <w:szCs w:val="24"/>
              </w:rPr>
              <w:t>30</w:t>
            </w:r>
            <w:r>
              <w:rPr>
                <w:rFonts w:ascii="宋体" w:eastAsia="宋体" w:hAnsi="宋体" w:cs="宋体"/>
                <w:color w:val="000000"/>
                <w:kern w:val="0"/>
                <w:sz w:val="24"/>
                <w:szCs w:val="24"/>
              </w:rPr>
              <w:t>兆瓦高温高压抽气凝气式汽轮机、</w:t>
            </w:r>
            <w:r>
              <w:rPr>
                <w:rFonts w:ascii="宋体" w:eastAsia="宋体" w:hAnsi="宋体" w:cs="宋体"/>
                <w:color w:val="000000"/>
                <w:kern w:val="0"/>
                <w:sz w:val="24"/>
                <w:szCs w:val="24"/>
              </w:rPr>
              <w:t>1</w:t>
            </w:r>
            <w:r>
              <w:rPr>
                <w:rFonts w:ascii="宋体" w:eastAsia="宋体" w:hAnsi="宋体" w:cs="宋体"/>
                <w:color w:val="000000"/>
                <w:kern w:val="0"/>
                <w:sz w:val="24"/>
                <w:szCs w:val="24"/>
              </w:rPr>
              <w:t>台</w:t>
            </w:r>
            <w:r>
              <w:rPr>
                <w:rFonts w:ascii="宋体" w:eastAsia="宋体" w:hAnsi="宋体" w:cs="宋体"/>
                <w:color w:val="000000"/>
                <w:kern w:val="0"/>
                <w:sz w:val="24"/>
                <w:szCs w:val="24"/>
              </w:rPr>
              <w:t>130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小时高温高压水冷震动炉排锅炉、</w:t>
            </w:r>
            <w:r>
              <w:rPr>
                <w:rFonts w:ascii="宋体" w:eastAsia="宋体" w:hAnsi="宋体" w:cs="宋体"/>
                <w:color w:val="000000"/>
                <w:kern w:val="0"/>
                <w:sz w:val="24"/>
                <w:szCs w:val="24"/>
              </w:rPr>
              <w:t>1</w:t>
            </w:r>
            <w:r>
              <w:rPr>
                <w:rFonts w:ascii="宋体" w:eastAsia="宋体" w:hAnsi="宋体" w:cs="宋体"/>
                <w:color w:val="000000"/>
                <w:kern w:val="0"/>
                <w:sz w:val="24"/>
                <w:szCs w:val="24"/>
              </w:rPr>
              <w:t>台</w:t>
            </w:r>
            <w:r>
              <w:rPr>
                <w:rFonts w:ascii="宋体" w:eastAsia="宋体" w:hAnsi="宋体" w:cs="宋体"/>
                <w:color w:val="000000"/>
                <w:kern w:val="0"/>
                <w:sz w:val="24"/>
                <w:szCs w:val="24"/>
              </w:rPr>
              <w:t>30</w:t>
            </w:r>
            <w:r>
              <w:rPr>
                <w:rFonts w:ascii="宋体" w:eastAsia="宋体" w:hAnsi="宋体" w:cs="宋体"/>
                <w:color w:val="000000"/>
                <w:kern w:val="0"/>
                <w:sz w:val="24"/>
                <w:szCs w:val="24"/>
              </w:rPr>
              <w:t>兆瓦空冷式发电机。</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长春航聚生物智能有限公司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长春市九台区其塔木镇新鲜村</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60000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kern w:val="0"/>
                <w:sz w:val="24"/>
                <w:szCs w:val="24"/>
              </w:rPr>
            </w:pPr>
            <w:r>
              <w:rPr>
                <w:rFonts w:ascii="宋体" w:eastAsia="宋体" w:hAnsi="宋体" w:cs="宋体" w:hint="eastAsia"/>
                <w:kern w:val="0"/>
                <w:sz w:val="24"/>
                <w:szCs w:val="24"/>
              </w:rPr>
              <w:t>长春市发改委</w:t>
            </w:r>
          </w:p>
        </w:tc>
      </w:tr>
      <w:tr w:rsidR="005A1ADB">
        <w:trPr>
          <w:trHeight w:val="97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7</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德惠生物质热电联产项目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在德惠经济开发区、朱城子镇、岔路口镇建设三个生物质热电联产项目，装机容量</w:t>
            </w:r>
            <w:r>
              <w:rPr>
                <w:rFonts w:ascii="宋体" w:eastAsia="宋体" w:hAnsi="宋体" w:cs="宋体"/>
                <w:color w:val="000000"/>
                <w:kern w:val="0"/>
                <w:sz w:val="24"/>
                <w:szCs w:val="24"/>
              </w:rPr>
              <w:t>100</w:t>
            </w:r>
            <w:r>
              <w:rPr>
                <w:rFonts w:ascii="宋体" w:eastAsia="宋体" w:hAnsi="宋体" w:cs="宋体"/>
                <w:color w:val="000000"/>
                <w:kern w:val="0"/>
                <w:sz w:val="24"/>
                <w:szCs w:val="24"/>
              </w:rPr>
              <w:t>万千瓦。</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哈尔滨电气集团股份有限公司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110000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kern w:val="0"/>
                <w:sz w:val="24"/>
                <w:szCs w:val="24"/>
              </w:rPr>
            </w:pPr>
            <w:r>
              <w:rPr>
                <w:rFonts w:ascii="宋体" w:eastAsia="宋体" w:hAnsi="宋体" w:cs="宋体" w:hint="eastAsia"/>
                <w:kern w:val="0"/>
                <w:sz w:val="24"/>
                <w:szCs w:val="24"/>
              </w:rPr>
              <w:t>长春市发改委</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8</w:t>
            </w:r>
          </w:p>
        </w:tc>
        <w:tc>
          <w:tcPr>
            <w:tcW w:w="65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固体废物资源</w:t>
            </w:r>
            <w:r>
              <w:rPr>
                <w:rFonts w:ascii="宋体" w:eastAsia="宋体" w:hAnsi="宋体" w:cs="宋体" w:hint="eastAsia"/>
                <w:color w:val="000000"/>
                <w:kern w:val="0"/>
                <w:sz w:val="24"/>
                <w:szCs w:val="24"/>
              </w:rPr>
              <w:lastRenderedPageBreak/>
              <w:t>化利用</w:t>
            </w: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lastRenderedPageBreak/>
              <w:t>工业固体废物资源化利用</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循环经济开发区大宗固体废弃物综合利用项目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大宗固体废弃物综合利用、环保节能型沥青混凝土循环再利用、新型建筑材料、环保节能型沥青混凝土搅拌项目，占地面积</w:t>
            </w:r>
            <w:r>
              <w:rPr>
                <w:rFonts w:ascii="宋体" w:eastAsia="宋体" w:hAnsi="宋体" w:cs="宋体"/>
                <w:color w:val="000000"/>
                <w:kern w:val="0"/>
                <w:sz w:val="24"/>
                <w:szCs w:val="24"/>
              </w:rPr>
              <w:t>5.2373</w:t>
            </w:r>
            <w:r>
              <w:rPr>
                <w:rFonts w:ascii="宋体" w:eastAsia="宋体" w:hAnsi="宋体" w:cs="宋体"/>
                <w:color w:val="000000"/>
                <w:kern w:val="0"/>
                <w:sz w:val="24"/>
                <w:szCs w:val="24"/>
              </w:rPr>
              <w:t>公顷。</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吉林省隆祥建材科技有限公司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长春循环经济产业开发区新型环保产业园区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27000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长春市供销社</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lastRenderedPageBreak/>
              <w:t>9</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铠源一般固废综合利用项目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新建炉渣综合利用生产线</w:t>
            </w:r>
            <w:r>
              <w:rPr>
                <w:rFonts w:ascii="宋体" w:eastAsia="宋体" w:hAnsi="宋体" w:cs="宋体"/>
                <w:color w:val="000000"/>
                <w:kern w:val="0"/>
                <w:sz w:val="24"/>
                <w:szCs w:val="24"/>
              </w:rPr>
              <w:t>1</w:t>
            </w:r>
            <w:r>
              <w:rPr>
                <w:rFonts w:ascii="宋体" w:eastAsia="宋体" w:hAnsi="宋体" w:cs="宋体"/>
                <w:color w:val="000000"/>
                <w:kern w:val="0"/>
                <w:sz w:val="24"/>
                <w:szCs w:val="24"/>
              </w:rPr>
              <w:t>条，年处理炉渣</w:t>
            </w:r>
            <w:r>
              <w:rPr>
                <w:rFonts w:ascii="宋体" w:eastAsia="宋体" w:hAnsi="宋体" w:cs="宋体"/>
                <w:color w:val="000000"/>
                <w:kern w:val="0"/>
                <w:sz w:val="24"/>
                <w:szCs w:val="24"/>
              </w:rPr>
              <w:t>33</w:t>
            </w:r>
            <w:r>
              <w:rPr>
                <w:rFonts w:ascii="宋体" w:eastAsia="宋体" w:hAnsi="宋体" w:cs="宋体"/>
                <w:color w:val="000000"/>
                <w:kern w:val="0"/>
                <w:sz w:val="24"/>
                <w:szCs w:val="24"/>
              </w:rPr>
              <w:t>万吨。全自动砖机生产线</w:t>
            </w:r>
            <w:r>
              <w:rPr>
                <w:rFonts w:ascii="宋体" w:eastAsia="宋体" w:hAnsi="宋体" w:cs="宋体"/>
                <w:color w:val="000000"/>
                <w:kern w:val="0"/>
                <w:sz w:val="24"/>
                <w:szCs w:val="24"/>
              </w:rPr>
              <w:t>1</w:t>
            </w:r>
            <w:r>
              <w:rPr>
                <w:rFonts w:ascii="宋体" w:eastAsia="宋体" w:hAnsi="宋体" w:cs="宋体"/>
                <w:color w:val="000000"/>
                <w:kern w:val="0"/>
                <w:sz w:val="24"/>
                <w:szCs w:val="24"/>
              </w:rPr>
              <w:t>条，年生产环保免烧压制砖</w:t>
            </w:r>
            <w:r>
              <w:rPr>
                <w:rFonts w:ascii="宋体" w:eastAsia="宋体" w:hAnsi="宋体" w:cs="宋体"/>
                <w:color w:val="000000"/>
                <w:kern w:val="0"/>
                <w:sz w:val="24"/>
                <w:szCs w:val="24"/>
              </w:rPr>
              <w:t>6000</w:t>
            </w:r>
            <w:r>
              <w:rPr>
                <w:rFonts w:ascii="宋体" w:eastAsia="宋体" w:hAnsi="宋体" w:cs="宋体"/>
                <w:color w:val="000000"/>
                <w:kern w:val="0"/>
                <w:sz w:val="24"/>
                <w:szCs w:val="24"/>
              </w:rPr>
              <w:t>万块</w:t>
            </w:r>
            <w:r>
              <w:rPr>
                <w:rFonts w:ascii="宋体" w:eastAsia="宋体" w:hAnsi="宋体" w:cs="宋体"/>
                <w:color w:val="000000"/>
                <w:kern w:val="0"/>
                <w:sz w:val="24"/>
                <w:szCs w:val="24"/>
              </w:rPr>
              <w:t>(7</w:t>
            </w:r>
            <w:r>
              <w:rPr>
                <w:rFonts w:ascii="宋体" w:eastAsia="宋体" w:hAnsi="宋体" w:cs="宋体"/>
                <w:color w:val="000000"/>
                <w:kern w:val="0"/>
                <w:sz w:val="24"/>
                <w:szCs w:val="24"/>
              </w:rPr>
              <w:t>万立方米</w:t>
            </w:r>
            <w:r>
              <w:rPr>
                <w:rFonts w:ascii="宋体" w:eastAsia="宋体" w:hAnsi="宋体" w:cs="宋体"/>
                <w:color w:val="000000"/>
                <w:kern w:val="0"/>
                <w:sz w:val="24"/>
                <w:szCs w:val="24"/>
              </w:rPr>
              <w:t>)</w:t>
            </w:r>
            <w:r>
              <w:rPr>
                <w:rFonts w:ascii="宋体" w:eastAsia="宋体" w:hAnsi="宋体" w:cs="宋体"/>
                <w:color w:val="000000"/>
                <w:kern w:val="0"/>
                <w:sz w:val="24"/>
                <w:szCs w:val="24"/>
              </w:rPr>
              <w:t>。</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长春铠源再生资源利用有限公司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德惠市米沙子镇南王家村九社（长春循环经济产业开发区内）</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6000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德惠市政府</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lastRenderedPageBreak/>
              <w:t>10</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农业固体废物资源化利用</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秸秆综合利用产业园建设项目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项目建设规模为厂区用地面积</w:t>
            </w:r>
            <w:r>
              <w:rPr>
                <w:rFonts w:ascii="宋体" w:eastAsia="宋体" w:hAnsi="宋体" w:cs="宋体"/>
                <w:color w:val="000000"/>
                <w:kern w:val="0"/>
                <w:sz w:val="24"/>
                <w:szCs w:val="24"/>
              </w:rPr>
              <w:t>18.91</w:t>
            </w:r>
            <w:r>
              <w:rPr>
                <w:rFonts w:ascii="宋体" w:eastAsia="宋体" w:hAnsi="宋体" w:cs="宋体"/>
                <w:color w:val="000000"/>
                <w:kern w:val="0"/>
                <w:sz w:val="24"/>
                <w:szCs w:val="24"/>
              </w:rPr>
              <w:t>万平方米，总建筑面积</w:t>
            </w:r>
            <w:r>
              <w:rPr>
                <w:rFonts w:ascii="宋体" w:eastAsia="宋体" w:hAnsi="宋体" w:cs="宋体"/>
                <w:color w:val="000000"/>
                <w:kern w:val="0"/>
                <w:sz w:val="24"/>
                <w:szCs w:val="24"/>
              </w:rPr>
              <w:t>9.11</w:t>
            </w:r>
            <w:r>
              <w:rPr>
                <w:rFonts w:ascii="宋体" w:eastAsia="宋体" w:hAnsi="宋体" w:cs="宋体"/>
                <w:color w:val="000000"/>
                <w:kern w:val="0"/>
                <w:sz w:val="24"/>
                <w:szCs w:val="24"/>
              </w:rPr>
              <w:t>万平方米。投产后预计每年可加工玉米秸秆</w:t>
            </w:r>
            <w:r>
              <w:rPr>
                <w:rFonts w:ascii="宋体" w:eastAsia="宋体" w:hAnsi="宋体" w:cs="宋体"/>
                <w:color w:val="000000"/>
                <w:kern w:val="0"/>
                <w:sz w:val="24"/>
                <w:szCs w:val="24"/>
              </w:rPr>
              <w:t>24</w:t>
            </w:r>
            <w:r>
              <w:rPr>
                <w:rFonts w:ascii="宋体" w:eastAsia="宋体" w:hAnsi="宋体" w:cs="宋体"/>
                <w:color w:val="000000"/>
                <w:kern w:val="0"/>
                <w:sz w:val="24"/>
                <w:szCs w:val="24"/>
              </w:rPr>
              <w:t>万吨，生产玉米秸秆板</w:t>
            </w:r>
            <w:r>
              <w:rPr>
                <w:rFonts w:ascii="宋体" w:eastAsia="宋体" w:hAnsi="宋体" w:cs="宋体"/>
                <w:color w:val="000000"/>
                <w:kern w:val="0"/>
                <w:sz w:val="24"/>
                <w:szCs w:val="24"/>
              </w:rPr>
              <w:t>12</w:t>
            </w:r>
            <w:r>
              <w:rPr>
                <w:rFonts w:ascii="宋体" w:eastAsia="宋体" w:hAnsi="宋体" w:cs="宋体"/>
                <w:color w:val="000000"/>
                <w:kern w:val="0"/>
                <w:sz w:val="24"/>
                <w:szCs w:val="24"/>
              </w:rPr>
              <w:t>万立方米，玉米秸秆生物饲料</w:t>
            </w:r>
            <w:r>
              <w:rPr>
                <w:rFonts w:ascii="宋体" w:eastAsia="宋体" w:hAnsi="宋体" w:cs="宋体"/>
                <w:color w:val="000000"/>
                <w:kern w:val="0"/>
                <w:sz w:val="24"/>
                <w:szCs w:val="24"/>
              </w:rPr>
              <w:t>12</w:t>
            </w:r>
            <w:r>
              <w:rPr>
                <w:rFonts w:ascii="宋体" w:eastAsia="宋体" w:hAnsi="宋体" w:cs="宋体"/>
                <w:color w:val="000000"/>
                <w:kern w:val="0"/>
                <w:sz w:val="24"/>
                <w:szCs w:val="24"/>
              </w:rPr>
              <w:t>万吨。</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吉林省常康生态技术有限公司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中韩（长春）国际合作示范区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79500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长春市工信局</w:t>
            </w:r>
          </w:p>
        </w:tc>
      </w:tr>
      <w:tr w:rsidR="005A1ADB">
        <w:trPr>
          <w:trHeight w:val="12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11</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长春德胜宝农业有限公司秸秆肥料化项目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计划年生产</w:t>
            </w:r>
            <w:r>
              <w:rPr>
                <w:rFonts w:ascii="宋体" w:eastAsia="宋体" w:hAnsi="宋体" w:cs="宋体"/>
                <w:color w:val="000000"/>
                <w:kern w:val="0"/>
                <w:sz w:val="24"/>
                <w:szCs w:val="24"/>
              </w:rPr>
              <w:t>3</w:t>
            </w:r>
            <w:r>
              <w:rPr>
                <w:rFonts w:ascii="宋体" w:eastAsia="宋体" w:hAnsi="宋体" w:cs="宋体"/>
                <w:color w:val="000000"/>
                <w:kern w:val="0"/>
                <w:sz w:val="24"/>
                <w:szCs w:val="24"/>
              </w:rPr>
              <w:t>万吨秸秆有机肥。</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长春德胜宝农业有限公司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开安镇得胜村</w:t>
            </w:r>
            <w:r>
              <w:rPr>
                <w:rFonts w:ascii="宋体" w:eastAsia="宋体" w:hAnsi="宋体" w:cs="宋体"/>
                <w:color w:val="000000"/>
                <w:kern w:val="0"/>
                <w:sz w:val="24"/>
                <w:szCs w:val="24"/>
              </w:rPr>
              <w:t>1</w:t>
            </w:r>
            <w:r>
              <w:rPr>
                <w:rFonts w:ascii="宋体" w:eastAsia="宋体" w:hAnsi="宋体" w:cs="宋体"/>
                <w:color w:val="000000"/>
                <w:kern w:val="0"/>
                <w:sz w:val="24"/>
                <w:szCs w:val="24"/>
              </w:rPr>
              <w:t>社</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长春市农业农村局、农安县政府</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12</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吉林省鑫乾农业发展有限公司秸秆饲料化项目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计划建设年生产</w:t>
            </w:r>
            <w:r>
              <w:rPr>
                <w:rFonts w:ascii="宋体" w:eastAsia="宋体" w:hAnsi="宋体" w:cs="宋体"/>
                <w:color w:val="000000"/>
                <w:kern w:val="0"/>
                <w:sz w:val="24"/>
                <w:szCs w:val="24"/>
              </w:rPr>
              <w:t>1.5</w:t>
            </w:r>
            <w:r>
              <w:rPr>
                <w:rFonts w:ascii="宋体" w:eastAsia="宋体" w:hAnsi="宋体" w:cs="宋体"/>
                <w:color w:val="000000"/>
                <w:kern w:val="0"/>
                <w:sz w:val="24"/>
                <w:szCs w:val="24"/>
              </w:rPr>
              <w:t>万吨秸秆饲料，</w:t>
            </w:r>
            <w:r>
              <w:rPr>
                <w:rFonts w:ascii="宋体" w:eastAsia="宋体" w:hAnsi="宋体" w:cs="宋体"/>
                <w:color w:val="000000"/>
                <w:kern w:val="0"/>
                <w:sz w:val="24"/>
                <w:szCs w:val="24"/>
              </w:rPr>
              <w:t>1</w:t>
            </w:r>
            <w:r>
              <w:rPr>
                <w:rFonts w:ascii="宋体" w:eastAsia="宋体" w:hAnsi="宋体" w:cs="宋体"/>
                <w:color w:val="000000"/>
                <w:kern w:val="0"/>
                <w:sz w:val="24"/>
                <w:szCs w:val="24"/>
              </w:rPr>
              <w:t>万吨秸秆加工有机肥。</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农安县鑫乾农机服务专业合作社</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农安县青山口乡南台子村五组</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120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长春市农业农村局、农安县政府</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lastRenderedPageBreak/>
              <w:t>13</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吉林新兆农牧业股份有限公司秸秆饲料化项目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建设青黄贮窖</w:t>
            </w:r>
            <w:r>
              <w:rPr>
                <w:rFonts w:ascii="宋体" w:eastAsia="宋体" w:hAnsi="宋体" w:cs="宋体"/>
                <w:color w:val="000000"/>
                <w:kern w:val="0"/>
                <w:sz w:val="24"/>
                <w:szCs w:val="24"/>
              </w:rPr>
              <w:t>15000</w:t>
            </w:r>
            <w:r>
              <w:rPr>
                <w:rFonts w:ascii="宋体" w:eastAsia="宋体" w:hAnsi="宋体" w:cs="宋体"/>
                <w:color w:val="000000"/>
                <w:kern w:val="0"/>
                <w:sz w:val="24"/>
                <w:szCs w:val="24"/>
              </w:rPr>
              <w:t>立方米。</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吉林新兆农牧业股份有限公司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巴吉垒镇双榆树村</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长春市农业农村局、农安县政府</w:t>
            </w:r>
          </w:p>
        </w:tc>
      </w:tr>
      <w:tr w:rsidR="005A1ADB">
        <w:trPr>
          <w:trHeight w:val="18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14</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秸秆饲料化喂养肉牛配套项目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利用秸秆饲料化喂养</w:t>
            </w:r>
            <w:r>
              <w:rPr>
                <w:rFonts w:ascii="宋体" w:eastAsia="宋体" w:hAnsi="宋体" w:cs="宋体"/>
                <w:color w:val="000000"/>
                <w:kern w:val="0"/>
                <w:sz w:val="24"/>
                <w:szCs w:val="24"/>
              </w:rPr>
              <w:t>5+5+15</w:t>
            </w:r>
            <w:r>
              <w:rPr>
                <w:rFonts w:ascii="宋体" w:eastAsia="宋体" w:hAnsi="宋体" w:cs="宋体"/>
                <w:color w:val="000000"/>
                <w:kern w:val="0"/>
                <w:sz w:val="24"/>
                <w:szCs w:val="24"/>
              </w:rPr>
              <w:t>万头肉牛，建设日产</w:t>
            </w:r>
            <w:r>
              <w:rPr>
                <w:rFonts w:ascii="宋体" w:eastAsia="宋体" w:hAnsi="宋体" w:cs="宋体"/>
                <w:color w:val="000000"/>
                <w:kern w:val="0"/>
                <w:sz w:val="24"/>
                <w:szCs w:val="24"/>
              </w:rPr>
              <w:t>6</w:t>
            </w:r>
            <w:r>
              <w:rPr>
                <w:rFonts w:ascii="宋体" w:eastAsia="宋体" w:hAnsi="宋体" w:cs="宋体"/>
                <w:color w:val="000000"/>
                <w:kern w:val="0"/>
                <w:sz w:val="24"/>
                <w:szCs w:val="24"/>
              </w:rPr>
              <w:t>万立沼气工程设施及</w:t>
            </w:r>
            <w:r>
              <w:rPr>
                <w:rFonts w:ascii="宋体" w:eastAsia="宋体" w:hAnsi="宋体" w:cs="宋体"/>
                <w:color w:val="000000"/>
                <w:kern w:val="0"/>
                <w:sz w:val="24"/>
                <w:szCs w:val="24"/>
              </w:rPr>
              <w:t>2.5</w:t>
            </w:r>
            <w:r>
              <w:rPr>
                <w:rFonts w:ascii="宋体" w:eastAsia="宋体" w:hAnsi="宋体" w:cs="宋体"/>
                <w:color w:val="000000"/>
                <w:kern w:val="0"/>
                <w:sz w:val="24"/>
                <w:szCs w:val="24"/>
              </w:rPr>
              <w:t>万立天然气母站。</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长春城投生态环保公司、城开农投集团</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农安县巴吉垒镇</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25000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长春市农业农村局、农安县政府</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15</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吉林省天跻农业生物科技有限公司秸秆饲料化项目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吉林省天跻农业生物科技有限公司建设生产十二万吨秸秆饲料化。</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吉林省天跻农业生物科技有限公司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农安县巴吉垒镇孟城村东侧</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长春市农业农村局、农安县政府</w:t>
            </w:r>
          </w:p>
        </w:tc>
      </w:tr>
      <w:tr w:rsidR="005A1ADB">
        <w:trPr>
          <w:trHeight w:val="12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16</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榆树市畜禽粪污无害化处理和资源化利用项目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以层梯式建设方式分别建设</w:t>
            </w:r>
            <w:r>
              <w:rPr>
                <w:rFonts w:ascii="宋体" w:eastAsia="宋体" w:hAnsi="宋体" w:cs="宋体"/>
                <w:color w:val="000000"/>
                <w:kern w:val="0"/>
                <w:sz w:val="24"/>
                <w:szCs w:val="24"/>
              </w:rPr>
              <w:t>100</w:t>
            </w:r>
            <w:r>
              <w:rPr>
                <w:rFonts w:ascii="宋体" w:eastAsia="宋体" w:hAnsi="宋体" w:cs="宋体"/>
                <w:color w:val="000000"/>
                <w:kern w:val="0"/>
                <w:sz w:val="24"/>
                <w:szCs w:val="24"/>
              </w:rPr>
              <w:t>个分散收集点、</w:t>
            </w:r>
            <w:r>
              <w:rPr>
                <w:rFonts w:ascii="宋体" w:eastAsia="宋体" w:hAnsi="宋体" w:cs="宋体"/>
                <w:color w:val="000000"/>
                <w:kern w:val="0"/>
                <w:sz w:val="24"/>
                <w:szCs w:val="24"/>
              </w:rPr>
              <w:t>20</w:t>
            </w:r>
            <w:r>
              <w:rPr>
                <w:rFonts w:ascii="宋体" w:eastAsia="宋体" w:hAnsi="宋体" w:cs="宋体"/>
                <w:color w:val="000000"/>
                <w:kern w:val="0"/>
                <w:sz w:val="24"/>
                <w:szCs w:val="24"/>
              </w:rPr>
              <w:t>个集约处理点和</w:t>
            </w:r>
            <w:r>
              <w:rPr>
                <w:rFonts w:ascii="宋体" w:eastAsia="宋体" w:hAnsi="宋体" w:cs="宋体"/>
                <w:color w:val="000000"/>
                <w:kern w:val="0"/>
                <w:sz w:val="24"/>
                <w:szCs w:val="24"/>
              </w:rPr>
              <w:t>3</w:t>
            </w:r>
            <w:r>
              <w:rPr>
                <w:rFonts w:ascii="宋体" w:eastAsia="宋体" w:hAnsi="宋体" w:cs="宋体"/>
                <w:color w:val="000000"/>
                <w:kern w:val="0"/>
                <w:sz w:val="24"/>
                <w:szCs w:val="24"/>
              </w:rPr>
              <w:t>个集中处理中心，在粪污产生量较大的大坡、弓棚、新立三镇各建一座集中处理中心。</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未定</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未定</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19000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榆树市畜牧业管理局</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lastRenderedPageBreak/>
              <w:t>17</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吉林省荣园农业服务有限公司养殖粪水全量还田项目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新增年产</w:t>
            </w:r>
            <w:r>
              <w:rPr>
                <w:rFonts w:ascii="宋体" w:eastAsia="宋体" w:hAnsi="宋体" w:cs="宋体"/>
                <w:color w:val="000000"/>
                <w:kern w:val="0"/>
                <w:sz w:val="24"/>
                <w:szCs w:val="24"/>
              </w:rPr>
              <w:t>10</w:t>
            </w:r>
            <w:r>
              <w:rPr>
                <w:rFonts w:ascii="宋体" w:eastAsia="宋体" w:hAnsi="宋体" w:cs="宋体"/>
                <w:color w:val="000000"/>
                <w:kern w:val="0"/>
                <w:sz w:val="24"/>
                <w:szCs w:val="24"/>
              </w:rPr>
              <w:t>万吨有机肥厂项目；计划开展养殖粪水回收、集中无害化处理、还田项目，共需消纳农田面积</w:t>
            </w:r>
            <w:r>
              <w:rPr>
                <w:rFonts w:ascii="宋体" w:eastAsia="宋体" w:hAnsi="宋体" w:cs="宋体"/>
                <w:color w:val="000000"/>
                <w:kern w:val="0"/>
                <w:sz w:val="24"/>
                <w:szCs w:val="24"/>
              </w:rPr>
              <w:t>125</w:t>
            </w:r>
            <w:r>
              <w:rPr>
                <w:rFonts w:ascii="宋体" w:eastAsia="宋体" w:hAnsi="宋体" w:cs="宋体"/>
                <w:color w:val="000000"/>
                <w:kern w:val="0"/>
                <w:sz w:val="24"/>
                <w:szCs w:val="24"/>
              </w:rPr>
              <w:t>公顷。</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吉林省荣园农业服务有限公司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未定</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1400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长春市双阳区畜牧业管理局</w:t>
            </w:r>
          </w:p>
        </w:tc>
      </w:tr>
      <w:tr w:rsidR="005A1ADB">
        <w:trPr>
          <w:trHeight w:val="12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18</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上河湾粪污处理中心建设项目建设项目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项目占地</w:t>
            </w:r>
            <w:r>
              <w:rPr>
                <w:rFonts w:ascii="宋体" w:eastAsia="宋体" w:hAnsi="宋体" w:cs="宋体"/>
                <w:color w:val="000000"/>
                <w:kern w:val="0"/>
                <w:sz w:val="24"/>
                <w:szCs w:val="24"/>
              </w:rPr>
              <w:t>5</w:t>
            </w:r>
            <w:r>
              <w:rPr>
                <w:rFonts w:ascii="宋体" w:eastAsia="宋体" w:hAnsi="宋体" w:cs="宋体"/>
                <w:color w:val="000000"/>
                <w:kern w:val="0"/>
                <w:sz w:val="24"/>
                <w:szCs w:val="24"/>
              </w:rPr>
              <w:t>万</w:t>
            </w:r>
            <w:r>
              <w:rPr>
                <w:rFonts w:ascii="宋体" w:eastAsia="宋体" w:hAnsi="宋体" w:cs="宋体"/>
                <w:color w:val="000000"/>
                <w:kern w:val="0"/>
                <w:sz w:val="24"/>
                <w:szCs w:val="24"/>
              </w:rPr>
              <w:t>m</w:t>
            </w:r>
            <w:r>
              <w:rPr>
                <w:rFonts w:ascii="宋体" w:eastAsia="宋体" w:hAnsi="宋体" w:cs="宋体"/>
                <w:color w:val="000000"/>
                <w:kern w:val="0"/>
                <w:sz w:val="24"/>
                <w:szCs w:val="24"/>
                <w:vertAlign w:val="superscript"/>
              </w:rPr>
              <w:t>2</w:t>
            </w:r>
            <w:r>
              <w:rPr>
                <w:rFonts w:ascii="宋体" w:eastAsia="宋体" w:hAnsi="宋体" w:cs="宋体"/>
                <w:color w:val="000000"/>
                <w:kern w:val="0"/>
                <w:sz w:val="24"/>
                <w:szCs w:val="24"/>
              </w:rPr>
              <w:t>，建设规模为年处理畜禽粪污</w:t>
            </w:r>
            <w:r>
              <w:rPr>
                <w:rFonts w:ascii="宋体" w:eastAsia="宋体" w:hAnsi="宋体" w:cs="宋体"/>
                <w:color w:val="000000"/>
                <w:kern w:val="0"/>
                <w:sz w:val="24"/>
                <w:szCs w:val="24"/>
              </w:rPr>
              <w:t>60</w:t>
            </w:r>
            <w:r>
              <w:rPr>
                <w:rFonts w:ascii="宋体" w:eastAsia="宋体" w:hAnsi="宋体" w:cs="宋体"/>
                <w:color w:val="000000"/>
                <w:kern w:val="0"/>
                <w:sz w:val="24"/>
                <w:szCs w:val="24"/>
              </w:rPr>
              <w:t>万吨，年生产有机肥</w:t>
            </w:r>
            <w:r>
              <w:rPr>
                <w:rFonts w:ascii="宋体" w:eastAsia="宋体" w:hAnsi="宋体" w:cs="宋体"/>
                <w:color w:val="000000"/>
                <w:kern w:val="0"/>
                <w:sz w:val="24"/>
                <w:szCs w:val="24"/>
              </w:rPr>
              <w:t>20</w:t>
            </w:r>
            <w:r>
              <w:rPr>
                <w:rFonts w:ascii="宋体" w:eastAsia="宋体" w:hAnsi="宋体" w:cs="宋体"/>
                <w:color w:val="000000"/>
                <w:kern w:val="0"/>
                <w:sz w:val="24"/>
                <w:szCs w:val="24"/>
              </w:rPr>
              <w:t>万吨。</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吉林九翔农业发展有限公司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上河湾镇干沟村</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5214</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长春市九台区畜牧业管理局</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19</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龙嘉街道粪污处理中心</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项目占地面积</w:t>
            </w:r>
            <w:r>
              <w:rPr>
                <w:rFonts w:ascii="宋体" w:eastAsia="宋体" w:hAnsi="宋体" w:cs="宋体"/>
                <w:color w:val="000000"/>
                <w:kern w:val="0"/>
                <w:sz w:val="24"/>
                <w:szCs w:val="24"/>
              </w:rPr>
              <w:t>2</w:t>
            </w:r>
            <w:r>
              <w:rPr>
                <w:rFonts w:ascii="宋体" w:eastAsia="宋体" w:hAnsi="宋体" w:cs="宋体"/>
                <w:color w:val="000000"/>
                <w:kern w:val="0"/>
                <w:sz w:val="24"/>
                <w:szCs w:val="24"/>
              </w:rPr>
              <w:t>万</w:t>
            </w:r>
            <w:r>
              <w:rPr>
                <w:rFonts w:ascii="宋体" w:eastAsia="宋体" w:hAnsi="宋体" w:cs="宋体"/>
                <w:color w:val="000000"/>
                <w:kern w:val="0"/>
                <w:sz w:val="24"/>
                <w:szCs w:val="24"/>
              </w:rPr>
              <w:t>m</w:t>
            </w:r>
            <w:r>
              <w:rPr>
                <w:rFonts w:ascii="宋体" w:eastAsia="宋体" w:hAnsi="宋体" w:cs="宋体"/>
                <w:color w:val="000000"/>
                <w:kern w:val="0"/>
                <w:sz w:val="24"/>
                <w:szCs w:val="24"/>
                <w:vertAlign w:val="superscript"/>
              </w:rPr>
              <w:t>2</w:t>
            </w:r>
            <w:r>
              <w:rPr>
                <w:rFonts w:ascii="宋体" w:eastAsia="宋体" w:hAnsi="宋体" w:cs="宋体"/>
                <w:color w:val="000000"/>
                <w:kern w:val="0"/>
                <w:sz w:val="24"/>
                <w:szCs w:val="24"/>
              </w:rPr>
              <w:t>，建设规模为年处理畜禽粪污</w:t>
            </w:r>
            <w:r>
              <w:rPr>
                <w:rFonts w:ascii="宋体" w:eastAsia="宋体" w:hAnsi="宋体" w:cs="宋体"/>
                <w:color w:val="000000"/>
                <w:kern w:val="0"/>
                <w:sz w:val="24"/>
                <w:szCs w:val="24"/>
              </w:rPr>
              <w:t>10</w:t>
            </w:r>
            <w:r>
              <w:rPr>
                <w:rFonts w:ascii="宋体" w:eastAsia="宋体" w:hAnsi="宋体" w:cs="宋体"/>
                <w:color w:val="000000"/>
                <w:kern w:val="0"/>
                <w:sz w:val="24"/>
                <w:szCs w:val="24"/>
              </w:rPr>
              <w:t>万吨，年产有机肥</w:t>
            </w:r>
            <w:r>
              <w:rPr>
                <w:rFonts w:ascii="宋体" w:eastAsia="宋体" w:hAnsi="宋体" w:cs="宋体"/>
                <w:color w:val="000000"/>
                <w:kern w:val="0"/>
                <w:sz w:val="24"/>
                <w:szCs w:val="24"/>
              </w:rPr>
              <w:t>3</w:t>
            </w:r>
            <w:r>
              <w:rPr>
                <w:rFonts w:ascii="宋体" w:eastAsia="宋体" w:hAnsi="宋体" w:cs="宋体"/>
                <w:color w:val="000000"/>
                <w:kern w:val="0"/>
                <w:sz w:val="24"/>
                <w:szCs w:val="24"/>
              </w:rPr>
              <w:t>万吨</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吉林省户洁家美科技发展有限公司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龙嘉街道泉眼村</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2314</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长春市九台区畜牧业管理局</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土们岭街道粪污处理中心建设项目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项目占地</w:t>
            </w:r>
            <w:r>
              <w:rPr>
                <w:rFonts w:ascii="宋体" w:eastAsia="宋体" w:hAnsi="宋体" w:cs="宋体"/>
                <w:color w:val="000000"/>
                <w:kern w:val="0"/>
                <w:sz w:val="24"/>
                <w:szCs w:val="24"/>
              </w:rPr>
              <w:t>2</w:t>
            </w:r>
            <w:r>
              <w:rPr>
                <w:rFonts w:ascii="宋体" w:eastAsia="宋体" w:hAnsi="宋体" w:cs="宋体"/>
                <w:color w:val="000000"/>
                <w:kern w:val="0"/>
                <w:sz w:val="24"/>
                <w:szCs w:val="24"/>
              </w:rPr>
              <w:t>万</w:t>
            </w:r>
            <w:r>
              <w:rPr>
                <w:rFonts w:ascii="宋体" w:eastAsia="宋体" w:hAnsi="宋体" w:cs="宋体"/>
                <w:color w:val="000000"/>
                <w:kern w:val="0"/>
                <w:sz w:val="24"/>
                <w:szCs w:val="24"/>
              </w:rPr>
              <w:t>m</w:t>
            </w:r>
            <w:r>
              <w:rPr>
                <w:rFonts w:ascii="宋体" w:eastAsia="宋体" w:hAnsi="宋体" w:cs="宋体"/>
                <w:color w:val="000000"/>
                <w:kern w:val="0"/>
                <w:sz w:val="24"/>
                <w:szCs w:val="24"/>
                <w:vertAlign w:val="superscript"/>
              </w:rPr>
              <w:t>2</w:t>
            </w:r>
            <w:r>
              <w:rPr>
                <w:rFonts w:ascii="宋体" w:eastAsia="宋体" w:hAnsi="宋体" w:cs="宋体"/>
                <w:color w:val="000000"/>
                <w:kern w:val="0"/>
                <w:sz w:val="24"/>
                <w:szCs w:val="24"/>
              </w:rPr>
              <w:t>，年处理畜禽粪污</w:t>
            </w:r>
            <w:r>
              <w:rPr>
                <w:rFonts w:ascii="宋体" w:eastAsia="宋体" w:hAnsi="宋体" w:cs="宋体"/>
                <w:color w:val="000000"/>
                <w:kern w:val="0"/>
                <w:sz w:val="24"/>
                <w:szCs w:val="24"/>
              </w:rPr>
              <w:t>10</w:t>
            </w:r>
            <w:r>
              <w:rPr>
                <w:rFonts w:ascii="宋体" w:eastAsia="宋体" w:hAnsi="宋体" w:cs="宋体"/>
                <w:color w:val="000000"/>
                <w:kern w:val="0"/>
                <w:sz w:val="24"/>
                <w:szCs w:val="24"/>
              </w:rPr>
              <w:t>万吨，年生产有机肥</w:t>
            </w:r>
            <w:r>
              <w:rPr>
                <w:rFonts w:ascii="宋体" w:eastAsia="宋体" w:hAnsi="宋体" w:cs="宋体"/>
                <w:color w:val="000000"/>
                <w:kern w:val="0"/>
                <w:sz w:val="24"/>
                <w:szCs w:val="24"/>
              </w:rPr>
              <w:t>3</w:t>
            </w:r>
            <w:r>
              <w:rPr>
                <w:rFonts w:ascii="宋体" w:eastAsia="宋体" w:hAnsi="宋体" w:cs="宋体"/>
                <w:color w:val="000000"/>
                <w:kern w:val="0"/>
                <w:sz w:val="24"/>
                <w:szCs w:val="24"/>
              </w:rPr>
              <w:t>万吨。</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吉林省康福环保能源有限公司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土们岭街道土们岭村</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2260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长春市九台区畜牧业管理局</w:t>
            </w:r>
          </w:p>
        </w:tc>
      </w:tr>
      <w:tr w:rsidR="005A1ADB">
        <w:trPr>
          <w:trHeight w:val="9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21</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建筑垃圾资源化利用</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长春市建筑垃圾综合处理厂项目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建设</w:t>
            </w:r>
            <w:r>
              <w:rPr>
                <w:rFonts w:ascii="宋体" w:eastAsia="宋体" w:hAnsi="宋体" w:cs="宋体"/>
                <w:color w:val="000000"/>
                <w:kern w:val="0"/>
                <w:sz w:val="24"/>
                <w:szCs w:val="24"/>
              </w:rPr>
              <w:t>2</w:t>
            </w:r>
            <w:r>
              <w:rPr>
                <w:rFonts w:ascii="宋体" w:eastAsia="宋体" w:hAnsi="宋体" w:cs="宋体"/>
                <w:color w:val="000000"/>
                <w:kern w:val="0"/>
                <w:sz w:val="24"/>
                <w:szCs w:val="24"/>
              </w:rPr>
              <w:t>座年处理</w:t>
            </w:r>
            <w:r>
              <w:rPr>
                <w:rFonts w:ascii="宋体" w:eastAsia="宋体" w:hAnsi="宋体" w:cs="宋体"/>
                <w:color w:val="000000"/>
                <w:kern w:val="0"/>
                <w:sz w:val="24"/>
                <w:szCs w:val="24"/>
              </w:rPr>
              <w:t>100</w:t>
            </w:r>
            <w:r>
              <w:rPr>
                <w:rFonts w:ascii="宋体" w:eastAsia="宋体" w:hAnsi="宋体" w:cs="宋体"/>
                <w:color w:val="000000"/>
                <w:kern w:val="0"/>
                <w:sz w:val="24"/>
                <w:szCs w:val="24"/>
              </w:rPr>
              <w:t>万吨建筑垃圾综合处理厂。</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市城市管理局</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长春市各城区、开发区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55000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各城区政府、开发区管委会</w:t>
            </w:r>
          </w:p>
        </w:tc>
      </w:tr>
      <w:tr w:rsidR="005A1ADB">
        <w:trPr>
          <w:trHeight w:val="9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22</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公主岭市建筑垃圾处理及利用工程</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设计处理能力建筑垃圾</w:t>
            </w:r>
            <w:r>
              <w:rPr>
                <w:rFonts w:ascii="宋体" w:eastAsia="宋体" w:hAnsi="宋体" w:cs="宋体"/>
                <w:color w:val="000000"/>
                <w:kern w:val="0"/>
                <w:sz w:val="24"/>
                <w:szCs w:val="24"/>
              </w:rPr>
              <w:t>200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日</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社会资本</w:t>
            </w:r>
          </w:p>
        </w:tc>
        <w:tc>
          <w:tcPr>
            <w:tcW w:w="15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公主岭市政府</w:t>
            </w:r>
          </w:p>
        </w:tc>
      </w:tr>
      <w:tr w:rsidR="005A1ADB">
        <w:trPr>
          <w:trHeight w:val="73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lastRenderedPageBreak/>
              <w:t>23</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环保建筑材料产业园项目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联动长春循环经济产业开发区，导入韩日技术和企业，合作发展固体废物处理回收设备等污染防治设备。环保建材研发中心、环保建筑材料产业园项目带动下游环保建筑、家居家具制造等产业发展。</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社会资本</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中韩（长春）国际合作示范区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2021-2024</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160000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市工信局、中韩示范区管委会</w:t>
            </w:r>
          </w:p>
        </w:tc>
      </w:tr>
      <w:tr w:rsidR="005A1ADB">
        <w:trPr>
          <w:trHeight w:val="30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24</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生活领域固体废物资源化利用</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长春市循环经济产业园项目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计划按三期进行建设，每期占地约</w:t>
            </w:r>
            <w:r>
              <w:rPr>
                <w:rFonts w:ascii="宋体" w:eastAsia="宋体" w:hAnsi="宋体" w:cs="宋体"/>
                <w:color w:val="000000"/>
                <w:kern w:val="0"/>
                <w:sz w:val="24"/>
                <w:szCs w:val="24"/>
              </w:rPr>
              <w:t>1</w:t>
            </w:r>
            <w:r>
              <w:rPr>
                <w:rFonts w:ascii="宋体" w:eastAsia="宋体" w:hAnsi="宋体" w:cs="宋体"/>
                <w:color w:val="000000"/>
                <w:kern w:val="0"/>
                <w:sz w:val="24"/>
                <w:szCs w:val="24"/>
              </w:rPr>
              <w:t>平方公里，一期规划建设有再生资源交易中心大厦、固体废物处置中心、废弃家电拆解利用车间、废弃衣物纺织品加工利用车间、废弃家具利用加工车间、报废汽车拆解中心、废弃轮胎及废弃电瓶处置加工区、新能源汽车报废锂电池及手机电池处置加工区、废铜废铝加工区、废钢铁加工区和废玻璃制品加工区等。</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长春市供销社、中国电力建设集团第六工程局、德惠市人民政府</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德惠市米沙子镇循环经济产业开发区内</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2022-2027</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3000000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长春市供销社</w:t>
            </w:r>
          </w:p>
        </w:tc>
      </w:tr>
      <w:tr w:rsidR="005A1ADB">
        <w:trPr>
          <w:trHeight w:val="18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lastRenderedPageBreak/>
              <w:t>25</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循环经济开发区报废机动车回收拆解项目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用地面积</w:t>
            </w:r>
            <w:r>
              <w:rPr>
                <w:rFonts w:ascii="宋体" w:eastAsia="宋体" w:hAnsi="宋体" w:cs="宋体"/>
                <w:color w:val="000000"/>
                <w:kern w:val="0"/>
                <w:sz w:val="24"/>
                <w:szCs w:val="24"/>
              </w:rPr>
              <w:t>6</w:t>
            </w:r>
            <w:r>
              <w:rPr>
                <w:rFonts w:ascii="宋体" w:eastAsia="宋体" w:hAnsi="宋体" w:cs="宋体"/>
                <w:color w:val="000000"/>
                <w:kern w:val="0"/>
                <w:sz w:val="24"/>
                <w:szCs w:val="24"/>
              </w:rPr>
              <w:t>万平方米，</w:t>
            </w:r>
            <w:r>
              <w:rPr>
                <w:rFonts w:ascii="宋体" w:eastAsia="宋体" w:hAnsi="宋体" w:cs="宋体"/>
                <w:color w:val="000000"/>
                <w:kern w:val="0"/>
                <w:sz w:val="24"/>
                <w:szCs w:val="24"/>
              </w:rPr>
              <w:t>2</w:t>
            </w:r>
            <w:r>
              <w:rPr>
                <w:rFonts w:ascii="宋体" w:eastAsia="宋体" w:hAnsi="宋体" w:cs="宋体"/>
                <w:color w:val="000000"/>
                <w:kern w:val="0"/>
                <w:sz w:val="24"/>
                <w:szCs w:val="24"/>
              </w:rPr>
              <w:t>个厂房，汽车拆解</w:t>
            </w:r>
            <w:r>
              <w:rPr>
                <w:rFonts w:ascii="宋体" w:eastAsia="宋体" w:hAnsi="宋体" w:cs="宋体"/>
                <w:color w:val="000000"/>
                <w:kern w:val="0"/>
                <w:sz w:val="24"/>
                <w:szCs w:val="24"/>
              </w:rPr>
              <w:t>6</w:t>
            </w:r>
            <w:r>
              <w:rPr>
                <w:rFonts w:ascii="宋体" w:eastAsia="宋体" w:hAnsi="宋体" w:cs="宋体"/>
                <w:color w:val="000000"/>
                <w:kern w:val="0"/>
                <w:sz w:val="24"/>
                <w:szCs w:val="24"/>
              </w:rPr>
              <w:t>万辆，产值</w:t>
            </w:r>
            <w:r>
              <w:rPr>
                <w:rFonts w:ascii="宋体" w:eastAsia="宋体" w:hAnsi="宋体" w:cs="宋体"/>
                <w:color w:val="000000"/>
                <w:kern w:val="0"/>
                <w:sz w:val="24"/>
                <w:szCs w:val="24"/>
              </w:rPr>
              <w:t>3</w:t>
            </w:r>
            <w:r>
              <w:rPr>
                <w:rFonts w:ascii="宋体" w:eastAsia="宋体" w:hAnsi="宋体" w:cs="宋体"/>
                <w:color w:val="000000"/>
                <w:kern w:val="0"/>
                <w:sz w:val="24"/>
                <w:szCs w:val="24"/>
              </w:rPr>
              <w:t>个亿。</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吉林省鑫冶报废机动车回收拆解有限公司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长春循环经济产业开发区拓展提升区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市供销社</w:t>
            </w:r>
          </w:p>
        </w:tc>
      </w:tr>
      <w:tr w:rsidR="005A1ADB">
        <w:trPr>
          <w:trHeight w:val="12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26</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大件垃圾资源化利用中心</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为改建项目，预计占地面积</w:t>
            </w:r>
            <w:r>
              <w:rPr>
                <w:rFonts w:ascii="宋体" w:eastAsia="宋体" w:hAnsi="宋体" w:cs="宋体"/>
                <w:color w:val="000000"/>
                <w:kern w:val="0"/>
                <w:sz w:val="24"/>
                <w:szCs w:val="24"/>
              </w:rPr>
              <w:t>7.28</w:t>
            </w:r>
            <w:r>
              <w:rPr>
                <w:rFonts w:ascii="宋体" w:eastAsia="宋体" w:hAnsi="宋体" w:cs="宋体"/>
                <w:color w:val="000000"/>
                <w:kern w:val="0"/>
                <w:sz w:val="24"/>
                <w:szCs w:val="24"/>
              </w:rPr>
              <w:t>公顷。</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市城市管理局</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绿园区合心镇长白公路与春华路交汇西行</w:t>
            </w:r>
            <w:r>
              <w:rPr>
                <w:rFonts w:ascii="宋体" w:eastAsia="宋体" w:hAnsi="宋体" w:cs="宋体"/>
                <w:color w:val="000000"/>
                <w:kern w:val="0"/>
                <w:sz w:val="24"/>
                <w:szCs w:val="24"/>
              </w:rPr>
              <w:t xml:space="preserve"> 400 </w:t>
            </w:r>
            <w:r>
              <w:rPr>
                <w:rFonts w:ascii="宋体" w:eastAsia="宋体" w:hAnsi="宋体" w:cs="宋体" w:hint="eastAsia"/>
                <w:color w:val="000000"/>
                <w:kern w:val="0"/>
                <w:sz w:val="24"/>
                <w:szCs w:val="24"/>
              </w:rPr>
              <w:t>米</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2023-2025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长春市城市管理局</w:t>
            </w:r>
          </w:p>
        </w:tc>
      </w:tr>
      <w:tr w:rsidR="005A1ADB">
        <w:trPr>
          <w:trHeight w:val="18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27</w:t>
            </w:r>
          </w:p>
        </w:tc>
        <w:tc>
          <w:tcPr>
            <w:tcW w:w="65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固体废物最终处置</w:t>
            </w: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危险废物处置</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吉林省晴天环保科技处理中心有限公司日处理</w:t>
            </w:r>
            <w:r>
              <w:rPr>
                <w:rFonts w:ascii="宋体" w:eastAsia="宋体" w:hAnsi="宋体" w:cs="宋体"/>
                <w:color w:val="000000"/>
                <w:kern w:val="0"/>
                <w:sz w:val="24"/>
                <w:szCs w:val="24"/>
              </w:rPr>
              <w:t>120</w:t>
            </w:r>
            <w:r>
              <w:rPr>
                <w:rFonts w:ascii="宋体" w:eastAsia="宋体" w:hAnsi="宋体" w:cs="宋体"/>
                <w:color w:val="000000"/>
                <w:kern w:val="0"/>
                <w:sz w:val="24"/>
                <w:szCs w:val="24"/>
              </w:rPr>
              <w:t>吨医废危废环保项目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新增一套日处理</w:t>
            </w:r>
            <w:r>
              <w:rPr>
                <w:rFonts w:ascii="宋体" w:eastAsia="宋体" w:hAnsi="宋体" w:cs="宋体"/>
                <w:color w:val="000000"/>
                <w:kern w:val="0"/>
                <w:sz w:val="24"/>
                <w:szCs w:val="24"/>
              </w:rPr>
              <w:t>120</w:t>
            </w:r>
            <w:r>
              <w:rPr>
                <w:rFonts w:ascii="宋体" w:eastAsia="宋体" w:hAnsi="宋体" w:cs="宋体"/>
                <w:color w:val="000000"/>
                <w:kern w:val="0"/>
                <w:sz w:val="24"/>
                <w:szCs w:val="24"/>
              </w:rPr>
              <w:t>吨回转窑焚烧系统处理危险废物及医疗废物，其中危险废物年处置能力</w:t>
            </w:r>
            <w:r>
              <w:rPr>
                <w:rFonts w:ascii="宋体" w:eastAsia="宋体" w:hAnsi="宋体" w:cs="宋体"/>
                <w:color w:val="000000"/>
                <w:kern w:val="0"/>
                <w:sz w:val="24"/>
                <w:szCs w:val="24"/>
              </w:rPr>
              <w:t>32800</w:t>
            </w:r>
            <w:r>
              <w:rPr>
                <w:rFonts w:ascii="宋体" w:eastAsia="宋体" w:hAnsi="宋体" w:cs="宋体"/>
                <w:color w:val="000000"/>
                <w:kern w:val="0"/>
                <w:sz w:val="24"/>
                <w:szCs w:val="24"/>
              </w:rPr>
              <w:t>吨，医疗废物年处置能力</w:t>
            </w:r>
            <w:r>
              <w:rPr>
                <w:rFonts w:ascii="宋体" w:eastAsia="宋体" w:hAnsi="宋体" w:cs="宋体"/>
                <w:color w:val="000000"/>
                <w:kern w:val="0"/>
                <w:sz w:val="24"/>
                <w:szCs w:val="24"/>
              </w:rPr>
              <w:t>5000</w:t>
            </w:r>
            <w:r>
              <w:rPr>
                <w:rFonts w:ascii="宋体" w:eastAsia="宋体" w:hAnsi="宋体" w:cs="宋体"/>
                <w:color w:val="000000"/>
                <w:kern w:val="0"/>
                <w:sz w:val="24"/>
                <w:szCs w:val="24"/>
              </w:rPr>
              <w:t>吨；新增</w:t>
            </w:r>
            <w:r>
              <w:rPr>
                <w:rFonts w:ascii="宋体" w:eastAsia="宋体" w:hAnsi="宋体" w:cs="宋体"/>
                <w:color w:val="000000"/>
                <w:kern w:val="0"/>
                <w:sz w:val="24"/>
                <w:szCs w:val="24"/>
              </w:rPr>
              <w:t>2</w:t>
            </w:r>
            <w:r>
              <w:rPr>
                <w:rFonts w:ascii="宋体" w:eastAsia="宋体" w:hAnsi="宋体" w:cs="宋体"/>
                <w:color w:val="000000"/>
                <w:kern w:val="0"/>
                <w:sz w:val="24"/>
                <w:szCs w:val="24"/>
              </w:rPr>
              <w:t>条废包装桶处置综合利用生产线。</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吉林省晴天环保科技处理中心有限公司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吉林省长春市九台区苇子沟镇大苇村</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7000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九台区政府</w:t>
            </w:r>
          </w:p>
        </w:tc>
      </w:tr>
      <w:tr w:rsidR="005A1ADB">
        <w:trPr>
          <w:trHeight w:val="18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28</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吉林省晴天环保科技处理中心有限公司工业固体废物处置中心建设项目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建设有效库容为</w:t>
            </w:r>
            <w:r>
              <w:rPr>
                <w:rFonts w:ascii="宋体" w:eastAsia="宋体" w:hAnsi="宋体" w:cs="宋体"/>
                <w:color w:val="000000"/>
                <w:kern w:val="0"/>
                <w:sz w:val="24"/>
                <w:szCs w:val="24"/>
              </w:rPr>
              <w:t>13.93</w:t>
            </w:r>
            <w:r>
              <w:rPr>
                <w:rFonts w:ascii="宋体" w:eastAsia="宋体" w:hAnsi="宋体" w:cs="宋体"/>
                <w:color w:val="000000"/>
                <w:kern w:val="0"/>
                <w:sz w:val="24"/>
                <w:szCs w:val="24"/>
              </w:rPr>
              <w:t>万</w:t>
            </w:r>
            <w:r>
              <w:rPr>
                <w:rFonts w:ascii="宋体" w:eastAsia="宋体" w:hAnsi="宋体" w:cs="宋体"/>
                <w:color w:val="000000"/>
                <w:kern w:val="0"/>
                <w:sz w:val="24"/>
                <w:szCs w:val="24"/>
              </w:rPr>
              <w:t>m</w:t>
            </w:r>
            <w:r>
              <w:rPr>
                <w:rFonts w:ascii="宋体" w:eastAsia="宋体" w:hAnsi="宋体" w:cs="宋体"/>
                <w:color w:val="000000"/>
                <w:kern w:val="0"/>
                <w:sz w:val="24"/>
                <w:szCs w:val="24"/>
                <w:vertAlign w:val="superscript"/>
              </w:rPr>
              <w:t>3</w:t>
            </w:r>
            <w:r>
              <w:rPr>
                <w:rFonts w:ascii="宋体" w:eastAsia="宋体" w:hAnsi="宋体" w:cs="宋体"/>
                <w:color w:val="000000"/>
                <w:kern w:val="0"/>
                <w:sz w:val="24"/>
                <w:szCs w:val="24"/>
              </w:rPr>
              <w:t>的危险废物刚性填埋场，总设计填埋量</w:t>
            </w:r>
            <w:r>
              <w:rPr>
                <w:rFonts w:ascii="宋体" w:eastAsia="宋体" w:hAnsi="宋体" w:cs="宋体"/>
                <w:color w:val="000000"/>
                <w:kern w:val="0"/>
                <w:sz w:val="24"/>
                <w:szCs w:val="24"/>
              </w:rPr>
              <w:t>25.2</w:t>
            </w:r>
            <w:r>
              <w:rPr>
                <w:rFonts w:ascii="宋体" w:eastAsia="宋体" w:hAnsi="宋体" w:cs="宋体"/>
                <w:color w:val="000000"/>
                <w:kern w:val="0"/>
                <w:sz w:val="24"/>
                <w:szCs w:val="24"/>
              </w:rPr>
              <w:t>万吨。</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吉林省晴天环保科技处理中心有限公司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九台区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九台区政府</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lastRenderedPageBreak/>
              <w:t>29</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榆树市医疗垃圾无害化处理</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日处理医疗废物</w:t>
            </w:r>
            <w:r>
              <w:rPr>
                <w:rFonts w:ascii="宋体" w:eastAsia="宋体" w:hAnsi="宋体" w:cs="宋体"/>
                <w:color w:val="000000"/>
                <w:kern w:val="0"/>
                <w:sz w:val="24"/>
                <w:szCs w:val="24"/>
              </w:rPr>
              <w:t>5</w:t>
            </w:r>
            <w:r>
              <w:rPr>
                <w:rFonts w:ascii="宋体" w:eastAsia="宋体" w:hAnsi="宋体" w:cs="宋体"/>
                <w:color w:val="000000"/>
                <w:kern w:val="0"/>
                <w:sz w:val="24"/>
                <w:szCs w:val="24"/>
              </w:rPr>
              <w:t>吨，年运行</w:t>
            </w:r>
            <w:r>
              <w:rPr>
                <w:rFonts w:ascii="宋体" w:eastAsia="宋体" w:hAnsi="宋体" w:cs="宋体"/>
                <w:color w:val="000000"/>
                <w:kern w:val="0"/>
                <w:sz w:val="24"/>
                <w:szCs w:val="24"/>
              </w:rPr>
              <w:t>330</w:t>
            </w:r>
            <w:r>
              <w:rPr>
                <w:rFonts w:ascii="宋体" w:eastAsia="宋体" w:hAnsi="宋体" w:cs="宋体"/>
                <w:color w:val="000000"/>
                <w:kern w:val="0"/>
                <w:sz w:val="24"/>
                <w:szCs w:val="24"/>
              </w:rPr>
              <w:t>天，年处理医疗废物</w:t>
            </w:r>
            <w:r>
              <w:rPr>
                <w:rFonts w:ascii="宋体" w:eastAsia="宋体" w:hAnsi="宋体" w:cs="宋体"/>
                <w:color w:val="000000"/>
                <w:kern w:val="0"/>
                <w:sz w:val="24"/>
                <w:szCs w:val="24"/>
              </w:rPr>
              <w:t>1650</w:t>
            </w:r>
            <w:r>
              <w:rPr>
                <w:rFonts w:ascii="宋体" w:eastAsia="宋体" w:hAnsi="宋体" w:cs="宋体"/>
                <w:color w:val="000000"/>
                <w:kern w:val="0"/>
                <w:sz w:val="24"/>
                <w:szCs w:val="24"/>
              </w:rPr>
              <w:t>吨；设计服务期限为</w:t>
            </w:r>
            <w:r>
              <w:rPr>
                <w:rFonts w:ascii="宋体" w:eastAsia="宋体" w:hAnsi="宋体" w:cs="宋体"/>
                <w:color w:val="000000"/>
                <w:kern w:val="0"/>
                <w:sz w:val="24"/>
                <w:szCs w:val="24"/>
              </w:rPr>
              <w:t>15</w:t>
            </w:r>
            <w:r>
              <w:rPr>
                <w:rFonts w:ascii="宋体" w:eastAsia="宋体" w:hAnsi="宋体" w:cs="宋体"/>
                <w:color w:val="000000"/>
                <w:kern w:val="0"/>
                <w:sz w:val="24"/>
                <w:szCs w:val="24"/>
              </w:rPr>
              <w:t>年。</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新建</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吉林强华环保科技有限责任公司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榆树市西北郊立新村（榆树市垃圾焚烧发电厂院内）</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2700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吉林强华环保科技有限责任公司</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30</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吉林省云辉环保科技有限公司年处理</w:t>
            </w:r>
            <w:r>
              <w:rPr>
                <w:rFonts w:ascii="宋体" w:eastAsia="宋体" w:hAnsi="宋体" w:cs="宋体"/>
                <w:color w:val="000000"/>
                <w:kern w:val="0"/>
                <w:sz w:val="24"/>
                <w:szCs w:val="24"/>
              </w:rPr>
              <w:t>5</w:t>
            </w:r>
            <w:r>
              <w:rPr>
                <w:rFonts w:ascii="宋体" w:eastAsia="宋体" w:hAnsi="宋体" w:cs="宋体"/>
                <w:color w:val="000000"/>
                <w:kern w:val="0"/>
                <w:sz w:val="24"/>
                <w:szCs w:val="24"/>
              </w:rPr>
              <w:t>万吨废电路板项目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新建</w:t>
            </w:r>
            <w:r>
              <w:rPr>
                <w:rFonts w:ascii="宋体" w:eastAsia="宋体" w:hAnsi="宋体" w:cs="宋体"/>
                <w:color w:val="000000"/>
                <w:kern w:val="0"/>
                <w:sz w:val="24"/>
                <w:szCs w:val="24"/>
              </w:rPr>
              <w:t>1</w:t>
            </w:r>
            <w:r>
              <w:rPr>
                <w:rFonts w:ascii="宋体" w:eastAsia="宋体" w:hAnsi="宋体" w:cs="宋体"/>
                <w:color w:val="000000"/>
                <w:kern w:val="0"/>
                <w:sz w:val="24"/>
                <w:szCs w:val="24"/>
              </w:rPr>
              <w:t>条废旧电子元器件人工拆解线，</w:t>
            </w:r>
            <w:r>
              <w:rPr>
                <w:rFonts w:ascii="宋体" w:eastAsia="宋体" w:hAnsi="宋体" w:cs="宋体"/>
                <w:color w:val="000000"/>
                <w:kern w:val="0"/>
                <w:sz w:val="24"/>
                <w:szCs w:val="24"/>
              </w:rPr>
              <w:t>2</w:t>
            </w:r>
            <w:r>
              <w:rPr>
                <w:rFonts w:ascii="宋体" w:eastAsia="宋体" w:hAnsi="宋体" w:cs="宋体"/>
                <w:color w:val="000000"/>
                <w:kern w:val="0"/>
                <w:sz w:val="24"/>
                <w:szCs w:val="24"/>
              </w:rPr>
              <w:t>条废电路板脱锡拆解线和</w:t>
            </w:r>
            <w:r>
              <w:rPr>
                <w:rFonts w:ascii="宋体" w:eastAsia="宋体" w:hAnsi="宋体" w:cs="宋体"/>
                <w:color w:val="000000"/>
                <w:kern w:val="0"/>
                <w:sz w:val="24"/>
                <w:szCs w:val="24"/>
              </w:rPr>
              <w:t>2</w:t>
            </w:r>
            <w:r>
              <w:rPr>
                <w:rFonts w:ascii="宋体" w:eastAsia="宋体" w:hAnsi="宋体" w:cs="宋体"/>
                <w:color w:val="000000"/>
                <w:kern w:val="0"/>
                <w:sz w:val="24"/>
                <w:szCs w:val="24"/>
              </w:rPr>
              <w:t>条废电路板焚烧处理线。年拆解废旧电子元器件</w:t>
            </w:r>
            <w:r>
              <w:rPr>
                <w:rFonts w:ascii="宋体" w:eastAsia="宋体" w:hAnsi="宋体" w:cs="宋体"/>
                <w:color w:val="000000"/>
                <w:kern w:val="0"/>
                <w:sz w:val="24"/>
                <w:szCs w:val="24"/>
              </w:rPr>
              <w:t>0.3</w:t>
            </w:r>
            <w:r>
              <w:rPr>
                <w:rFonts w:ascii="宋体" w:eastAsia="宋体" w:hAnsi="宋体" w:cs="宋体"/>
                <w:color w:val="000000"/>
                <w:kern w:val="0"/>
                <w:sz w:val="24"/>
                <w:szCs w:val="24"/>
              </w:rPr>
              <w:t>万吨和废电路板</w:t>
            </w:r>
            <w:r>
              <w:rPr>
                <w:rFonts w:ascii="宋体" w:eastAsia="宋体" w:hAnsi="宋体" w:cs="宋体"/>
                <w:color w:val="000000"/>
                <w:kern w:val="0"/>
                <w:sz w:val="24"/>
                <w:szCs w:val="24"/>
              </w:rPr>
              <w:t>5</w:t>
            </w:r>
            <w:r>
              <w:rPr>
                <w:rFonts w:ascii="宋体" w:eastAsia="宋体" w:hAnsi="宋体" w:cs="宋体"/>
                <w:color w:val="000000"/>
                <w:kern w:val="0"/>
                <w:sz w:val="24"/>
                <w:szCs w:val="24"/>
              </w:rPr>
              <w:t>万吨，年焚烧处理废电路板</w:t>
            </w:r>
            <w:r>
              <w:rPr>
                <w:rFonts w:ascii="宋体" w:eastAsia="宋体" w:hAnsi="宋体" w:cs="宋体"/>
                <w:color w:val="000000"/>
                <w:kern w:val="0"/>
                <w:sz w:val="24"/>
                <w:szCs w:val="24"/>
              </w:rPr>
              <w:t>4.37</w:t>
            </w:r>
            <w:r>
              <w:rPr>
                <w:rFonts w:ascii="宋体" w:eastAsia="宋体" w:hAnsi="宋体" w:cs="宋体"/>
                <w:color w:val="000000"/>
                <w:kern w:val="0"/>
                <w:sz w:val="24"/>
                <w:szCs w:val="24"/>
              </w:rPr>
              <w:t>万吨，年副产锡锭</w:t>
            </w:r>
            <w:r>
              <w:rPr>
                <w:rFonts w:ascii="宋体" w:eastAsia="宋体" w:hAnsi="宋体" w:cs="宋体"/>
                <w:color w:val="000000"/>
                <w:kern w:val="0"/>
                <w:sz w:val="24"/>
                <w:szCs w:val="24"/>
              </w:rPr>
              <w:t>130</w:t>
            </w:r>
            <w:r>
              <w:rPr>
                <w:rFonts w:ascii="宋体" w:eastAsia="宋体" w:hAnsi="宋体" w:cs="宋体"/>
                <w:color w:val="000000"/>
                <w:kern w:val="0"/>
                <w:sz w:val="24"/>
                <w:szCs w:val="24"/>
              </w:rPr>
              <w:t>吨，含铜金属锭和含铜金属棒各</w:t>
            </w:r>
            <w:r>
              <w:rPr>
                <w:rFonts w:ascii="宋体" w:eastAsia="宋体" w:hAnsi="宋体" w:cs="宋体"/>
                <w:color w:val="000000"/>
                <w:kern w:val="0"/>
                <w:sz w:val="24"/>
                <w:szCs w:val="24"/>
              </w:rPr>
              <w:t>0.9</w:t>
            </w:r>
            <w:r>
              <w:rPr>
                <w:rFonts w:ascii="宋体" w:eastAsia="宋体" w:hAnsi="宋体" w:cs="宋体"/>
                <w:color w:val="000000"/>
                <w:kern w:val="0"/>
                <w:sz w:val="24"/>
                <w:szCs w:val="24"/>
              </w:rPr>
              <w:t>万吨。</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新建</w:t>
            </w:r>
          </w:p>
        </w:tc>
        <w:tc>
          <w:tcPr>
            <w:tcW w:w="133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吉林省云辉环保科技有限公司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宽城区兰家镇</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7000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吉林省云辉环保科技有限公司</w:t>
            </w:r>
          </w:p>
        </w:tc>
      </w:tr>
      <w:tr w:rsidR="005A1ADB">
        <w:trPr>
          <w:trHeight w:val="18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31</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生活领域固体废物处置</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长春市城市生活垃圾焚烧发电处理项目扩建项目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采取特许经营模式建设，日处理能力</w:t>
            </w:r>
            <w:r>
              <w:rPr>
                <w:rFonts w:ascii="宋体" w:eastAsia="宋体" w:hAnsi="宋体" w:cs="宋体"/>
                <w:color w:val="000000"/>
                <w:kern w:val="0"/>
                <w:sz w:val="24"/>
                <w:szCs w:val="24"/>
              </w:rPr>
              <w:t>1500</w:t>
            </w:r>
            <w:r>
              <w:rPr>
                <w:rFonts w:ascii="宋体" w:eastAsia="宋体" w:hAnsi="宋体" w:cs="宋体"/>
                <w:color w:val="000000"/>
                <w:kern w:val="0"/>
                <w:sz w:val="24"/>
                <w:szCs w:val="24"/>
              </w:rPr>
              <w:t>吨，配置</w:t>
            </w:r>
            <w:r>
              <w:rPr>
                <w:rFonts w:ascii="宋体" w:eastAsia="宋体" w:hAnsi="宋体" w:cs="宋体"/>
                <w:color w:val="000000"/>
                <w:kern w:val="0"/>
                <w:sz w:val="24"/>
                <w:szCs w:val="24"/>
              </w:rPr>
              <w:t>2</w:t>
            </w:r>
            <w:r>
              <w:rPr>
                <w:rFonts w:ascii="宋体" w:eastAsia="宋体" w:hAnsi="宋体" w:cs="宋体"/>
                <w:color w:val="000000"/>
                <w:kern w:val="0"/>
                <w:sz w:val="24"/>
                <w:szCs w:val="24"/>
              </w:rPr>
              <w:t>条</w:t>
            </w:r>
            <w:r>
              <w:rPr>
                <w:rFonts w:ascii="宋体" w:eastAsia="宋体" w:hAnsi="宋体" w:cs="宋体"/>
                <w:color w:val="000000"/>
                <w:kern w:val="0"/>
                <w:sz w:val="24"/>
                <w:szCs w:val="24"/>
              </w:rPr>
              <w:t>750t/d</w:t>
            </w:r>
            <w:r>
              <w:rPr>
                <w:rFonts w:ascii="宋体" w:eastAsia="宋体" w:hAnsi="宋体" w:cs="宋体"/>
                <w:color w:val="000000"/>
                <w:kern w:val="0"/>
                <w:sz w:val="24"/>
                <w:szCs w:val="24"/>
              </w:rPr>
              <w:t>垃圾焚烧生产线，配置汽轮发电机组容量为</w:t>
            </w:r>
            <w:r>
              <w:rPr>
                <w:rFonts w:ascii="宋体" w:eastAsia="宋体" w:hAnsi="宋体" w:cs="宋体"/>
                <w:color w:val="000000"/>
                <w:kern w:val="0"/>
                <w:sz w:val="24"/>
                <w:szCs w:val="24"/>
              </w:rPr>
              <w:t>40MW</w:t>
            </w:r>
            <w:r>
              <w:rPr>
                <w:rFonts w:ascii="宋体" w:eastAsia="宋体" w:hAnsi="宋体" w:cs="宋体"/>
                <w:color w:val="000000"/>
                <w:kern w:val="0"/>
                <w:sz w:val="24"/>
                <w:szCs w:val="24"/>
              </w:rPr>
              <w:t>。</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长春市恒建科达新能源发电有限公司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德惠市长春循环经济产业开发区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96706.89</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德惠市政府</w:t>
            </w:r>
          </w:p>
        </w:tc>
      </w:tr>
      <w:tr w:rsidR="005A1ADB">
        <w:trPr>
          <w:trHeight w:val="12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32</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长春市餐厨（厨余）垃圾处理厂项目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设计处理规模：餐饮垃圾</w:t>
            </w:r>
            <w:r>
              <w:rPr>
                <w:rFonts w:ascii="宋体" w:eastAsia="宋体" w:hAnsi="宋体" w:cs="宋体"/>
                <w:color w:val="000000"/>
                <w:kern w:val="0"/>
                <w:sz w:val="24"/>
                <w:szCs w:val="24"/>
              </w:rPr>
              <w:t>300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日，厨余垃圾</w:t>
            </w:r>
            <w:r>
              <w:rPr>
                <w:rFonts w:ascii="宋体" w:eastAsia="宋体" w:hAnsi="宋体" w:cs="宋体"/>
                <w:color w:val="000000"/>
                <w:kern w:val="0"/>
                <w:sz w:val="24"/>
                <w:szCs w:val="24"/>
              </w:rPr>
              <w:t>200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日，共计</w:t>
            </w:r>
            <w:r>
              <w:rPr>
                <w:rFonts w:ascii="宋体" w:eastAsia="宋体" w:hAnsi="宋体" w:cs="宋体"/>
                <w:color w:val="000000"/>
                <w:kern w:val="0"/>
                <w:sz w:val="24"/>
                <w:szCs w:val="24"/>
              </w:rPr>
              <w:t>500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日。采取特许经营模式建设。</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长春市固体废弃物管理中心</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德惠市长春循环经济产业开发区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2022-2024</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34260.31</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德惠市政府</w:t>
            </w:r>
          </w:p>
        </w:tc>
      </w:tr>
      <w:tr w:rsidR="005A1ADB">
        <w:trPr>
          <w:trHeight w:val="9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lastRenderedPageBreak/>
              <w:t>33</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德惠经济开发区飞灰处理工程</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填埋库区（</w:t>
            </w:r>
            <w:r>
              <w:rPr>
                <w:rFonts w:ascii="宋体" w:eastAsia="宋体" w:hAnsi="宋体" w:cs="宋体"/>
                <w:color w:val="000000"/>
                <w:kern w:val="0"/>
                <w:sz w:val="24"/>
                <w:szCs w:val="24"/>
              </w:rPr>
              <w:t>2</w:t>
            </w:r>
            <w:r>
              <w:rPr>
                <w:rFonts w:ascii="宋体" w:eastAsia="宋体" w:hAnsi="宋体" w:cs="宋体"/>
                <w:color w:val="000000"/>
                <w:kern w:val="0"/>
                <w:sz w:val="24"/>
                <w:szCs w:val="24"/>
              </w:rPr>
              <w:t>个）占地面积</w:t>
            </w:r>
            <w:r>
              <w:rPr>
                <w:rFonts w:ascii="宋体" w:eastAsia="宋体" w:hAnsi="宋体" w:cs="宋体"/>
                <w:color w:val="000000"/>
                <w:kern w:val="0"/>
                <w:sz w:val="24"/>
                <w:szCs w:val="24"/>
              </w:rPr>
              <w:t>1.3</w:t>
            </w:r>
            <w:r>
              <w:rPr>
                <w:rFonts w:ascii="宋体" w:eastAsia="宋体" w:hAnsi="宋体" w:cs="宋体"/>
                <w:color w:val="000000"/>
                <w:kern w:val="0"/>
                <w:sz w:val="24"/>
                <w:szCs w:val="24"/>
              </w:rPr>
              <w:t>万平方米，总库容</w:t>
            </w:r>
            <w:r>
              <w:rPr>
                <w:rFonts w:ascii="宋体" w:eastAsia="宋体" w:hAnsi="宋体" w:cs="宋体"/>
                <w:color w:val="000000"/>
                <w:kern w:val="0"/>
                <w:sz w:val="24"/>
                <w:szCs w:val="24"/>
              </w:rPr>
              <w:t>9.2</w:t>
            </w:r>
            <w:r>
              <w:rPr>
                <w:rFonts w:ascii="宋体" w:eastAsia="宋体" w:hAnsi="宋体" w:cs="宋体"/>
                <w:color w:val="000000"/>
                <w:kern w:val="0"/>
                <w:sz w:val="24"/>
                <w:szCs w:val="24"/>
              </w:rPr>
              <w:t>万立方米，总填埋量</w:t>
            </w:r>
            <w:r>
              <w:rPr>
                <w:rFonts w:ascii="宋体" w:eastAsia="宋体" w:hAnsi="宋体" w:cs="宋体"/>
                <w:color w:val="000000"/>
                <w:kern w:val="0"/>
                <w:sz w:val="24"/>
                <w:szCs w:val="24"/>
              </w:rPr>
              <w:t>11.9</w:t>
            </w:r>
            <w:r>
              <w:rPr>
                <w:rFonts w:ascii="宋体" w:eastAsia="宋体" w:hAnsi="宋体" w:cs="宋体"/>
                <w:color w:val="000000"/>
                <w:kern w:val="0"/>
                <w:sz w:val="24"/>
                <w:szCs w:val="24"/>
              </w:rPr>
              <w:t>万吨。</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德惠市政府</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1646</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德惠市政府</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34</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长春市九台区生活垃圾焚烧发电项目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项目设计规模为日处理城市生活垃圾</w:t>
            </w:r>
            <w:r>
              <w:rPr>
                <w:rFonts w:ascii="宋体" w:eastAsia="宋体" w:hAnsi="宋体" w:cs="宋体"/>
                <w:color w:val="000000"/>
                <w:kern w:val="0"/>
                <w:sz w:val="24"/>
                <w:szCs w:val="24"/>
              </w:rPr>
              <w:t>1200</w:t>
            </w:r>
            <w:r>
              <w:rPr>
                <w:rFonts w:ascii="宋体" w:eastAsia="宋体" w:hAnsi="宋体" w:cs="宋体"/>
                <w:color w:val="000000"/>
                <w:kern w:val="0"/>
                <w:sz w:val="24"/>
                <w:szCs w:val="24"/>
              </w:rPr>
              <w:t>吨，年处理</w:t>
            </w:r>
            <w:r>
              <w:rPr>
                <w:rFonts w:ascii="宋体" w:eastAsia="宋体" w:hAnsi="宋体" w:cs="宋体"/>
                <w:color w:val="000000"/>
                <w:kern w:val="0"/>
                <w:sz w:val="24"/>
                <w:szCs w:val="24"/>
              </w:rPr>
              <w:t>43.8</w:t>
            </w:r>
            <w:r>
              <w:rPr>
                <w:rFonts w:ascii="宋体" w:eastAsia="宋体" w:hAnsi="宋体" w:cs="宋体"/>
                <w:color w:val="000000"/>
                <w:kern w:val="0"/>
                <w:sz w:val="24"/>
                <w:szCs w:val="24"/>
              </w:rPr>
              <w:t>万吨，其中一期新建</w:t>
            </w:r>
            <w:r>
              <w:rPr>
                <w:rFonts w:ascii="宋体" w:eastAsia="宋体" w:hAnsi="宋体" w:cs="宋体"/>
                <w:color w:val="000000"/>
                <w:kern w:val="0"/>
                <w:sz w:val="24"/>
                <w:szCs w:val="24"/>
              </w:rPr>
              <w:t>2</w:t>
            </w:r>
            <w:r>
              <w:rPr>
                <w:rFonts w:ascii="宋体" w:eastAsia="宋体" w:hAnsi="宋体" w:cs="宋体"/>
                <w:color w:val="000000"/>
                <w:kern w:val="0"/>
                <w:sz w:val="24"/>
                <w:szCs w:val="24"/>
              </w:rPr>
              <w:t>条</w:t>
            </w:r>
            <w:r>
              <w:rPr>
                <w:rFonts w:ascii="宋体" w:eastAsia="宋体" w:hAnsi="宋体" w:cs="宋体"/>
                <w:color w:val="000000"/>
                <w:kern w:val="0"/>
                <w:sz w:val="24"/>
                <w:szCs w:val="24"/>
              </w:rPr>
              <w:t>400t/d</w:t>
            </w:r>
            <w:r>
              <w:rPr>
                <w:rFonts w:ascii="宋体" w:eastAsia="宋体" w:hAnsi="宋体" w:cs="宋体"/>
                <w:color w:val="000000"/>
                <w:kern w:val="0"/>
                <w:sz w:val="24"/>
                <w:szCs w:val="24"/>
              </w:rPr>
              <w:t>垃圾焚烧生产线</w:t>
            </w:r>
            <w:r>
              <w:rPr>
                <w:rFonts w:ascii="宋体" w:eastAsia="宋体" w:hAnsi="宋体" w:cs="宋体"/>
                <w:color w:val="000000"/>
                <w:kern w:val="0"/>
                <w:sz w:val="24"/>
                <w:szCs w:val="24"/>
              </w:rPr>
              <w:t>+15MW</w:t>
            </w:r>
            <w:r>
              <w:rPr>
                <w:rFonts w:ascii="宋体" w:eastAsia="宋体" w:hAnsi="宋体" w:cs="宋体"/>
                <w:color w:val="000000"/>
                <w:kern w:val="0"/>
                <w:sz w:val="24"/>
                <w:szCs w:val="24"/>
              </w:rPr>
              <w:t>抽凝式汽轮发电机组二期建设</w:t>
            </w:r>
            <w:r>
              <w:rPr>
                <w:rFonts w:ascii="宋体" w:eastAsia="宋体" w:hAnsi="宋体" w:cs="宋体"/>
                <w:color w:val="000000"/>
                <w:kern w:val="0"/>
                <w:sz w:val="24"/>
                <w:szCs w:val="24"/>
              </w:rPr>
              <w:t>1</w:t>
            </w:r>
            <w:r>
              <w:rPr>
                <w:rFonts w:ascii="宋体" w:eastAsia="宋体" w:hAnsi="宋体" w:cs="宋体"/>
                <w:color w:val="000000"/>
                <w:kern w:val="0"/>
                <w:sz w:val="24"/>
                <w:szCs w:val="24"/>
              </w:rPr>
              <w:t>条</w:t>
            </w:r>
            <w:r>
              <w:rPr>
                <w:rFonts w:ascii="宋体" w:eastAsia="宋体" w:hAnsi="宋体" w:cs="宋体"/>
                <w:color w:val="000000"/>
                <w:kern w:val="0"/>
                <w:sz w:val="24"/>
                <w:szCs w:val="24"/>
              </w:rPr>
              <w:t>400t/d</w:t>
            </w:r>
            <w:r>
              <w:rPr>
                <w:rFonts w:ascii="宋体" w:eastAsia="宋体" w:hAnsi="宋体" w:cs="宋体"/>
                <w:color w:val="000000"/>
                <w:kern w:val="0"/>
                <w:sz w:val="24"/>
                <w:szCs w:val="24"/>
              </w:rPr>
              <w:t>垃圾焚烧生产线</w:t>
            </w:r>
            <w:r>
              <w:rPr>
                <w:rFonts w:ascii="宋体" w:eastAsia="宋体" w:hAnsi="宋体" w:cs="宋体"/>
                <w:color w:val="000000"/>
                <w:kern w:val="0"/>
                <w:sz w:val="24"/>
                <w:szCs w:val="24"/>
              </w:rPr>
              <w:t>+1</w:t>
            </w:r>
            <w:r>
              <w:rPr>
                <w:rFonts w:ascii="宋体" w:eastAsia="宋体" w:hAnsi="宋体" w:cs="宋体"/>
                <w:color w:val="000000"/>
                <w:kern w:val="0"/>
                <w:sz w:val="24"/>
                <w:szCs w:val="24"/>
              </w:rPr>
              <w:t>台</w:t>
            </w:r>
            <w:r>
              <w:rPr>
                <w:rFonts w:ascii="宋体" w:eastAsia="宋体" w:hAnsi="宋体" w:cs="宋体"/>
                <w:color w:val="000000"/>
                <w:kern w:val="0"/>
                <w:sz w:val="24"/>
                <w:szCs w:val="24"/>
              </w:rPr>
              <w:t>9MW</w:t>
            </w:r>
            <w:r>
              <w:rPr>
                <w:rFonts w:ascii="宋体" w:eastAsia="宋体" w:hAnsi="宋体" w:cs="宋体"/>
                <w:color w:val="000000"/>
                <w:kern w:val="0"/>
                <w:sz w:val="24"/>
                <w:szCs w:val="24"/>
              </w:rPr>
              <w:t>的纯凝式汽轮发电机组。</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九台区天楹环保能源有限公司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九台区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2020-2022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50000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九台区政府</w:t>
            </w:r>
          </w:p>
        </w:tc>
      </w:tr>
      <w:tr w:rsidR="005A1ADB">
        <w:trPr>
          <w:trHeight w:val="6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35</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九台区飞灰填埋处理工程</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填埋区</w:t>
            </w:r>
            <w:r>
              <w:rPr>
                <w:rFonts w:ascii="宋体" w:eastAsia="宋体" w:hAnsi="宋体" w:cs="宋体"/>
                <w:color w:val="000000"/>
                <w:kern w:val="0"/>
                <w:sz w:val="24"/>
                <w:szCs w:val="24"/>
              </w:rPr>
              <w:t>4.5</w:t>
            </w:r>
            <w:r>
              <w:rPr>
                <w:rFonts w:ascii="宋体" w:eastAsia="宋体" w:hAnsi="宋体" w:cs="宋体"/>
                <w:color w:val="000000"/>
                <w:kern w:val="0"/>
                <w:sz w:val="24"/>
                <w:szCs w:val="24"/>
              </w:rPr>
              <w:t>万平方米，库容</w:t>
            </w:r>
            <w:r>
              <w:rPr>
                <w:rFonts w:ascii="宋体" w:eastAsia="宋体" w:hAnsi="宋体" w:cs="宋体"/>
                <w:color w:val="000000"/>
                <w:kern w:val="0"/>
                <w:sz w:val="24"/>
                <w:szCs w:val="24"/>
              </w:rPr>
              <w:t>45</w:t>
            </w:r>
            <w:r>
              <w:rPr>
                <w:rFonts w:ascii="宋体" w:eastAsia="宋体" w:hAnsi="宋体" w:cs="宋体"/>
                <w:color w:val="000000"/>
                <w:kern w:val="0"/>
                <w:sz w:val="24"/>
                <w:szCs w:val="24"/>
              </w:rPr>
              <w:t>万立方米，固化后飞灰填埋</w:t>
            </w:r>
            <w:r>
              <w:rPr>
                <w:rFonts w:ascii="宋体" w:eastAsia="宋体" w:hAnsi="宋体" w:cs="宋体"/>
                <w:color w:val="000000"/>
                <w:kern w:val="0"/>
                <w:sz w:val="24"/>
                <w:szCs w:val="24"/>
              </w:rPr>
              <w:t>100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日。</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九台区政府</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九台区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5000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九台区政府</w:t>
            </w:r>
          </w:p>
        </w:tc>
      </w:tr>
      <w:tr w:rsidR="005A1ADB">
        <w:trPr>
          <w:trHeight w:val="9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36</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榆树市固体废物处理中心</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主要包括固废分拣区、飞灰吨袋处理区、炉渣处理区、餐厨厨余处理区、垃圾填埋应急处理区，以及渗滤液处理设施设备等，设计处理能力固体废物</w:t>
            </w:r>
            <w:r>
              <w:rPr>
                <w:rFonts w:ascii="宋体" w:eastAsia="宋体" w:hAnsi="宋体" w:cs="宋体"/>
                <w:color w:val="000000"/>
                <w:kern w:val="0"/>
                <w:sz w:val="24"/>
                <w:szCs w:val="24"/>
              </w:rPr>
              <w:t>500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日。</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榆树市政府</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2022-2024</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19000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榆树市政府</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37</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公主岭市生活垃圾焚烧厂（扩建）</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主要扩建一台日处理</w:t>
            </w:r>
            <w:r>
              <w:rPr>
                <w:rFonts w:ascii="宋体" w:eastAsia="宋体" w:hAnsi="宋体" w:cs="宋体"/>
                <w:color w:val="000000"/>
                <w:kern w:val="0"/>
                <w:sz w:val="24"/>
                <w:szCs w:val="24"/>
              </w:rPr>
              <w:t>400</w:t>
            </w:r>
            <w:r>
              <w:rPr>
                <w:rFonts w:ascii="宋体" w:eastAsia="宋体" w:hAnsi="宋体" w:cs="宋体"/>
                <w:color w:val="000000"/>
                <w:kern w:val="0"/>
                <w:sz w:val="24"/>
                <w:szCs w:val="24"/>
              </w:rPr>
              <w:t>吨的机械炉排炉，一台</w:t>
            </w:r>
            <w:r>
              <w:rPr>
                <w:rFonts w:ascii="宋体" w:eastAsia="宋体" w:hAnsi="宋体" w:cs="宋体"/>
                <w:color w:val="000000"/>
                <w:kern w:val="0"/>
                <w:sz w:val="24"/>
                <w:szCs w:val="24"/>
              </w:rPr>
              <w:t>6</w:t>
            </w:r>
            <w:r>
              <w:rPr>
                <w:rFonts w:ascii="宋体" w:eastAsia="宋体" w:hAnsi="宋体" w:cs="宋体"/>
                <w:color w:val="000000"/>
                <w:kern w:val="0"/>
                <w:sz w:val="24"/>
                <w:szCs w:val="24"/>
              </w:rPr>
              <w:t>兆瓦凝汽式汽轮发电机组，同步配套建设烟气净化工艺系统。二期建成后日处理垃圾</w:t>
            </w:r>
            <w:r>
              <w:rPr>
                <w:rFonts w:ascii="宋体" w:eastAsia="宋体" w:hAnsi="宋体" w:cs="宋体"/>
                <w:color w:val="000000"/>
                <w:kern w:val="0"/>
                <w:sz w:val="24"/>
                <w:szCs w:val="24"/>
              </w:rPr>
              <w:lastRenderedPageBreak/>
              <w:t>800</w:t>
            </w:r>
            <w:r>
              <w:rPr>
                <w:rFonts w:ascii="宋体" w:eastAsia="宋体" w:hAnsi="宋体" w:cs="宋体"/>
                <w:color w:val="000000"/>
                <w:kern w:val="0"/>
                <w:sz w:val="24"/>
                <w:szCs w:val="24"/>
              </w:rPr>
              <w:t>吨，实现全市生活垃圾</w:t>
            </w:r>
            <w:r>
              <w:rPr>
                <w:rFonts w:ascii="宋体" w:eastAsia="宋体" w:hAnsi="宋体" w:cs="宋体"/>
                <w:color w:val="000000"/>
                <w:kern w:val="0"/>
                <w:sz w:val="24"/>
                <w:szCs w:val="24"/>
              </w:rPr>
              <w:t>“</w:t>
            </w:r>
            <w:r>
              <w:rPr>
                <w:rFonts w:ascii="宋体" w:eastAsia="宋体" w:hAnsi="宋体" w:cs="宋体"/>
                <w:color w:val="000000"/>
                <w:kern w:val="0"/>
                <w:sz w:val="24"/>
                <w:szCs w:val="24"/>
              </w:rPr>
              <w:t>减量化、资源化、无害化</w:t>
            </w:r>
            <w:r>
              <w:rPr>
                <w:rFonts w:ascii="宋体" w:eastAsia="宋体" w:hAnsi="宋体" w:cs="宋体"/>
                <w:color w:val="000000"/>
                <w:kern w:val="0"/>
                <w:sz w:val="24"/>
                <w:szCs w:val="24"/>
              </w:rPr>
              <w:t>”</w:t>
            </w:r>
            <w:r>
              <w:rPr>
                <w:rFonts w:ascii="宋体" w:eastAsia="宋体" w:hAnsi="宋体" w:cs="宋体"/>
                <w:color w:val="000000"/>
                <w:kern w:val="0"/>
                <w:sz w:val="24"/>
                <w:szCs w:val="24"/>
              </w:rPr>
              <w:t>。</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lastRenderedPageBreak/>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公主岭德联生物质能源有限公司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环岭街道红旗村凤凰山南段（公伊路四平农科所东侧）</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26500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公主岭市政府</w:t>
            </w:r>
          </w:p>
        </w:tc>
      </w:tr>
      <w:tr w:rsidR="005A1ADB">
        <w:trPr>
          <w:trHeight w:val="9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lastRenderedPageBreak/>
              <w:t>38</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公主岭市固体废弃物处理工程</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飞灰填埋区、垃圾填埋区。</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谋划</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公主岭市政府</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4802</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公主岭市政府</w:t>
            </w:r>
          </w:p>
        </w:tc>
      </w:tr>
      <w:tr w:rsidR="005A1ADB">
        <w:trPr>
          <w:trHeight w:val="15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39</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公主岭市厨余垃圾处理厂</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占地</w:t>
            </w:r>
            <w:r>
              <w:rPr>
                <w:rFonts w:ascii="宋体" w:eastAsia="宋体" w:hAnsi="宋体" w:cs="宋体"/>
                <w:color w:val="000000"/>
                <w:kern w:val="0"/>
                <w:sz w:val="24"/>
                <w:szCs w:val="24"/>
              </w:rPr>
              <w:t>1500</w:t>
            </w:r>
            <w:r>
              <w:rPr>
                <w:rFonts w:ascii="宋体" w:eastAsia="宋体" w:hAnsi="宋体" w:cs="宋体"/>
                <w:color w:val="000000"/>
                <w:kern w:val="0"/>
                <w:sz w:val="24"/>
                <w:szCs w:val="24"/>
              </w:rPr>
              <w:t>平方米，日处理餐厨垃圾</w:t>
            </w:r>
            <w:r>
              <w:rPr>
                <w:rFonts w:ascii="宋体" w:eastAsia="宋体" w:hAnsi="宋体" w:cs="宋体"/>
                <w:color w:val="000000"/>
                <w:kern w:val="0"/>
                <w:sz w:val="24"/>
                <w:szCs w:val="24"/>
              </w:rPr>
              <w:t>50</w:t>
            </w:r>
            <w:r>
              <w:rPr>
                <w:rFonts w:ascii="宋体" w:eastAsia="宋体" w:hAnsi="宋体" w:cs="宋体"/>
                <w:color w:val="000000"/>
                <w:kern w:val="0"/>
                <w:sz w:val="24"/>
                <w:szCs w:val="24"/>
              </w:rPr>
              <w:t>吨，新建餐厨垃圾生产线。</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公主岭市城市管理行政执法局</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拟建地点环岭街道红旗村凤凰山南段（公伊路四平农科所东侧）</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2022-2023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1500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公主岭市政府</w:t>
            </w:r>
          </w:p>
        </w:tc>
      </w:tr>
      <w:tr w:rsidR="005A1ADB">
        <w:trPr>
          <w:trHeight w:val="12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40</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农安县生活垃圾焚烧发电项目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新建</w:t>
            </w:r>
            <w:r>
              <w:rPr>
                <w:rFonts w:ascii="宋体" w:eastAsia="宋体" w:hAnsi="宋体" w:cs="宋体"/>
                <w:color w:val="000000"/>
                <w:kern w:val="0"/>
                <w:sz w:val="24"/>
                <w:szCs w:val="24"/>
              </w:rPr>
              <w:t>2</w:t>
            </w:r>
            <w:r>
              <w:rPr>
                <w:rFonts w:ascii="宋体" w:eastAsia="宋体" w:hAnsi="宋体" w:cs="宋体"/>
                <w:color w:val="000000"/>
                <w:kern w:val="0"/>
                <w:sz w:val="24"/>
                <w:szCs w:val="24"/>
              </w:rPr>
              <w:t>台处理能力</w:t>
            </w:r>
            <w:r>
              <w:rPr>
                <w:rFonts w:ascii="宋体" w:eastAsia="宋体" w:hAnsi="宋体" w:cs="宋体"/>
                <w:color w:val="000000"/>
                <w:kern w:val="0"/>
                <w:sz w:val="24"/>
                <w:szCs w:val="24"/>
              </w:rPr>
              <w:t>400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日的机械炉排焚烧炉及配套设施，新增生活垃圾总处理能力为</w:t>
            </w:r>
            <w:r>
              <w:rPr>
                <w:rFonts w:ascii="宋体" w:eastAsia="宋体" w:hAnsi="宋体" w:cs="宋体"/>
                <w:color w:val="000000"/>
                <w:kern w:val="0"/>
                <w:sz w:val="24"/>
                <w:szCs w:val="24"/>
              </w:rPr>
              <w:t>800</w:t>
            </w:r>
            <w:r>
              <w:rPr>
                <w:rFonts w:ascii="宋体" w:eastAsia="宋体" w:hAnsi="宋体" w:cs="宋体"/>
                <w:color w:val="000000"/>
                <w:kern w:val="0"/>
                <w:sz w:val="24"/>
                <w:szCs w:val="24"/>
              </w:rPr>
              <w:t>吨</w:t>
            </w:r>
            <w:r>
              <w:rPr>
                <w:rFonts w:ascii="宋体" w:eastAsia="宋体" w:hAnsi="宋体" w:cs="宋体"/>
                <w:color w:val="000000"/>
                <w:kern w:val="0"/>
                <w:sz w:val="24"/>
                <w:szCs w:val="24"/>
              </w:rPr>
              <w:t>/</w:t>
            </w:r>
            <w:r>
              <w:rPr>
                <w:rFonts w:ascii="宋体" w:eastAsia="宋体" w:hAnsi="宋体" w:cs="宋体"/>
                <w:color w:val="000000"/>
                <w:kern w:val="0"/>
                <w:sz w:val="24"/>
                <w:szCs w:val="24"/>
              </w:rPr>
              <w:t>日。</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农安首创环保能源有限公司</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农安县</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2020-2022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46852</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农安县政府</w:t>
            </w:r>
          </w:p>
        </w:tc>
      </w:tr>
      <w:tr w:rsidR="005A1ADB">
        <w:trPr>
          <w:trHeight w:val="6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41</w:t>
            </w:r>
          </w:p>
        </w:tc>
        <w:tc>
          <w:tcPr>
            <w:tcW w:w="65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保障能力</w:t>
            </w: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监管体系建设</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完善禁烧监管能力项目</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重点月份秸秆焚烧开展无人机巡查。</w:t>
            </w:r>
          </w:p>
        </w:tc>
        <w:tc>
          <w:tcPr>
            <w:tcW w:w="1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市生态环境局</w:t>
            </w:r>
          </w:p>
        </w:tc>
        <w:tc>
          <w:tcPr>
            <w:tcW w:w="15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w:t>
            </w:r>
          </w:p>
        </w:tc>
        <w:tc>
          <w:tcPr>
            <w:tcW w:w="131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2021-2025</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119.4</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长春市生态环境局</w:t>
            </w:r>
          </w:p>
        </w:tc>
      </w:tr>
      <w:tr w:rsidR="005A1ADB">
        <w:trPr>
          <w:trHeight w:val="915"/>
        </w:trPr>
        <w:tc>
          <w:tcPr>
            <w:tcW w:w="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42</w:t>
            </w:r>
          </w:p>
        </w:tc>
        <w:tc>
          <w:tcPr>
            <w:tcW w:w="65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widowControl/>
              <w:jc w:val="center"/>
              <w:textAlignment w:val="center"/>
              <w:rPr>
                <w:rFonts w:ascii="宋体" w:hAnsi="宋体" w:cs="宋体"/>
                <w:color w:val="000000"/>
                <w:kern w:val="0"/>
                <w:sz w:val="24"/>
                <w:szCs w:val="24"/>
              </w:rPr>
            </w:pPr>
          </w:p>
        </w:tc>
        <w:tc>
          <w:tcPr>
            <w:tcW w:w="82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5A1ADB">
            <w:pPr>
              <w:widowControl/>
              <w:jc w:val="center"/>
              <w:textAlignment w:val="center"/>
              <w:rPr>
                <w:rFonts w:ascii="宋体" w:hAnsi="宋体" w:cs="宋体"/>
                <w:color w:val="000000"/>
                <w:kern w:val="0"/>
                <w:sz w:val="24"/>
                <w:szCs w:val="24"/>
              </w:rPr>
            </w:pP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长春市智慧环保平台—危废模块</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left"/>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长春市智慧环保平台的总体架构包括智慧监管应用等四个部分，其中，智慧监管应用包含危废全过程监管系统。</w:t>
            </w:r>
          </w:p>
        </w:tc>
        <w:tc>
          <w:tcPr>
            <w:tcW w:w="119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实施</w:t>
            </w:r>
          </w:p>
        </w:tc>
        <w:tc>
          <w:tcPr>
            <w:tcW w:w="1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长春市生态环境局</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2021-2023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color w:val="000000"/>
                <w:kern w:val="0"/>
                <w:sz w:val="24"/>
                <w:szCs w:val="24"/>
              </w:rPr>
              <w:t>800</w:t>
            </w:r>
          </w:p>
        </w:tc>
        <w:tc>
          <w:tcPr>
            <w:tcW w:w="1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widowControl/>
              <w:jc w:val="center"/>
              <w:textAlignment w:val="center"/>
              <w:rPr>
                <w:rFonts w:ascii="宋体" w:hAnsi="宋体" w:cs="宋体"/>
                <w:color w:val="000000"/>
                <w:kern w:val="0"/>
                <w:sz w:val="24"/>
                <w:szCs w:val="24"/>
              </w:rPr>
            </w:pPr>
            <w:r>
              <w:rPr>
                <w:rFonts w:ascii="宋体" w:eastAsia="宋体" w:hAnsi="宋体" w:cs="宋体" w:hint="eastAsia"/>
                <w:color w:val="000000"/>
                <w:kern w:val="0"/>
                <w:sz w:val="24"/>
                <w:szCs w:val="24"/>
              </w:rPr>
              <w:t>长春市生态环境局</w:t>
            </w:r>
          </w:p>
        </w:tc>
      </w:tr>
    </w:tbl>
    <w:p w:rsidR="005A1ADB" w:rsidRDefault="000B6ECF">
      <w:pPr>
        <w:jc w:val="left"/>
        <w:outlineLvl w:val="0"/>
        <w:rPr>
          <w:rStyle w:val="af"/>
          <w:rFonts w:ascii="宋体" w:hAnsi="宋体" w:cs="宋体"/>
          <w:sz w:val="28"/>
          <w:szCs w:val="28"/>
        </w:rPr>
      </w:pPr>
      <w:bookmarkStart w:id="157" w:name="_Toc9261"/>
      <w:bookmarkStart w:id="158" w:name="_Toc11872"/>
      <w:bookmarkStart w:id="159" w:name="_Toc111200006"/>
      <w:bookmarkStart w:id="160" w:name="_Toc115079289"/>
      <w:r>
        <w:rPr>
          <w:rStyle w:val="af"/>
          <w:rFonts w:ascii="宋体" w:hAnsi="宋体" w:cs="宋体" w:hint="eastAsia"/>
          <w:sz w:val="28"/>
          <w:szCs w:val="28"/>
        </w:rPr>
        <w:lastRenderedPageBreak/>
        <w:t>附件</w:t>
      </w:r>
      <w:r>
        <w:rPr>
          <w:rStyle w:val="af"/>
          <w:rFonts w:ascii="宋体" w:hAnsi="宋体" w:cs="宋体" w:hint="eastAsia"/>
          <w:sz w:val="28"/>
          <w:szCs w:val="28"/>
        </w:rPr>
        <w:t xml:space="preserve">5              </w:t>
      </w:r>
      <w:bookmarkEnd w:id="157"/>
      <w:bookmarkEnd w:id="158"/>
      <w:r>
        <w:rPr>
          <w:rStyle w:val="af"/>
          <w:rFonts w:ascii="宋体" w:hAnsi="宋体" w:cs="宋体" w:hint="eastAsia"/>
          <w:sz w:val="28"/>
          <w:szCs w:val="28"/>
        </w:rPr>
        <w:t>长春市“无废城市”建设相关地方性法规、政策性文件、规划一览表</w:t>
      </w:r>
      <w:bookmarkEnd w:id="159"/>
      <w:bookmarkEnd w:id="160"/>
    </w:p>
    <w:tbl>
      <w:tblPr>
        <w:tblW w:w="0" w:type="auto"/>
        <w:tblLayout w:type="fixed"/>
        <w:tblLook w:val="04A0"/>
      </w:tblPr>
      <w:tblGrid>
        <w:gridCol w:w="475"/>
        <w:gridCol w:w="806"/>
        <w:gridCol w:w="7042"/>
        <w:gridCol w:w="953"/>
        <w:gridCol w:w="1562"/>
        <w:gridCol w:w="3336"/>
      </w:tblGrid>
      <w:tr w:rsidR="005A1ADB">
        <w:trPr>
          <w:tblHeader/>
        </w:trPr>
        <w:tc>
          <w:tcPr>
            <w:tcW w:w="4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b/>
                <w:bCs/>
                <w:sz w:val="24"/>
                <w:szCs w:val="24"/>
              </w:rPr>
            </w:pPr>
            <w:r>
              <w:rPr>
                <w:rFonts w:ascii="宋体" w:eastAsia="宋体" w:hAnsi="宋体" w:cs="宋体" w:hint="eastAsia"/>
                <w:b/>
                <w:bCs/>
                <w:sz w:val="24"/>
                <w:szCs w:val="24"/>
              </w:rPr>
              <w:t>序号</w:t>
            </w:r>
          </w:p>
        </w:tc>
        <w:tc>
          <w:tcPr>
            <w:tcW w:w="8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center"/>
              <w:rPr>
                <w:rFonts w:ascii="宋体" w:eastAsia="宋体" w:hAnsi="宋体" w:cs="宋体"/>
                <w:b/>
                <w:bCs/>
                <w:sz w:val="24"/>
                <w:szCs w:val="24"/>
              </w:rPr>
            </w:pPr>
            <w:r>
              <w:rPr>
                <w:rFonts w:ascii="宋体" w:eastAsia="宋体" w:hAnsi="宋体" w:cs="宋体" w:hint="eastAsia"/>
                <w:b/>
                <w:bCs/>
                <w:sz w:val="24"/>
                <w:szCs w:val="24"/>
              </w:rPr>
              <w:t>类型</w:t>
            </w: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center"/>
              <w:rPr>
                <w:rFonts w:ascii="宋体" w:eastAsia="宋体" w:hAnsi="宋体" w:cs="宋体"/>
                <w:b/>
                <w:bCs/>
                <w:sz w:val="24"/>
                <w:szCs w:val="24"/>
              </w:rPr>
            </w:pPr>
            <w:r>
              <w:rPr>
                <w:rFonts w:ascii="宋体" w:eastAsia="宋体" w:hAnsi="宋体" w:cs="宋体" w:hint="eastAsia"/>
                <w:b/>
                <w:bCs/>
                <w:sz w:val="24"/>
                <w:szCs w:val="24"/>
              </w:rPr>
              <w:t>属性</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center"/>
              <w:rPr>
                <w:rFonts w:ascii="宋体" w:eastAsia="宋体" w:hAnsi="宋体" w:cs="宋体"/>
                <w:b/>
                <w:bCs/>
                <w:sz w:val="24"/>
                <w:szCs w:val="24"/>
              </w:rPr>
            </w:pPr>
            <w:r>
              <w:rPr>
                <w:rFonts w:ascii="宋体" w:eastAsia="宋体" w:hAnsi="宋体" w:cs="宋体" w:hint="eastAsia"/>
                <w:b/>
                <w:bCs/>
                <w:sz w:val="24"/>
                <w:szCs w:val="24"/>
              </w:rPr>
              <w:t>出台时间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center"/>
              <w:rPr>
                <w:rFonts w:ascii="宋体" w:eastAsia="宋体" w:hAnsi="宋体" w:cs="宋体"/>
                <w:b/>
                <w:bCs/>
                <w:sz w:val="24"/>
                <w:szCs w:val="24"/>
              </w:rPr>
            </w:pPr>
            <w:r>
              <w:rPr>
                <w:rFonts w:ascii="宋体" w:eastAsia="宋体" w:hAnsi="宋体" w:cs="宋体" w:hint="eastAsia"/>
                <w:b/>
                <w:bCs/>
                <w:sz w:val="24"/>
                <w:szCs w:val="24"/>
              </w:rPr>
              <w:t>来源</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1</w:t>
            </w:r>
          </w:p>
        </w:tc>
        <w:tc>
          <w:tcPr>
            <w:tcW w:w="80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地方性法规、规章</w:t>
            </w: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《长春市农作物秸秆露天禁烧和综合利用管理条例》</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2019</w:t>
            </w:r>
            <w:r>
              <w:rPr>
                <w:rFonts w:ascii="宋体" w:eastAsia="宋体" w:hAnsi="宋体" w:cs="宋体"/>
                <w:sz w:val="24"/>
                <w:szCs w:val="24"/>
              </w:rPr>
              <w:t>年</w:t>
            </w:r>
          </w:p>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（修订中）</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市人民代表大会常务委员会</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《长春市农村环境治理条例》</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2019</w:t>
            </w:r>
            <w:r>
              <w:rPr>
                <w:rFonts w:ascii="宋体" w:eastAsia="宋体" w:hAnsi="宋体" w:cs="宋体"/>
                <w:sz w:val="24"/>
                <w:szCs w:val="24"/>
              </w:rPr>
              <w:t>年（</w:t>
            </w:r>
            <w:r>
              <w:rPr>
                <w:rFonts w:ascii="宋体" w:eastAsia="宋体" w:hAnsi="宋体" w:cs="宋体"/>
                <w:sz w:val="24"/>
                <w:szCs w:val="24"/>
              </w:rPr>
              <w:t>2021</w:t>
            </w:r>
            <w:r>
              <w:rPr>
                <w:rFonts w:ascii="宋体" w:eastAsia="宋体" w:hAnsi="宋体" w:cs="宋体"/>
                <w:sz w:val="24"/>
                <w:szCs w:val="24"/>
              </w:rPr>
              <w:t>年修改）</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市人民代表大会常务委员会</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3</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《长春市生活垃圾分类管理条例》</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2019</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市人民代表大会常务委员会</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4</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《长春市城市建筑垃圾管理办法》</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2019</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市城市管理局</w:t>
            </w:r>
          </w:p>
        </w:tc>
      </w:tr>
      <w:tr w:rsidR="005A1ADB">
        <w:tc>
          <w:tcPr>
            <w:tcW w:w="475" w:type="dxa"/>
            <w:tcBorders>
              <w:top w:val="single" w:sz="8" w:space="0" w:color="000000"/>
              <w:left w:val="single" w:sz="8" w:space="0" w:color="000000"/>
              <w:bottom w:val="single" w:sz="4" w:space="0" w:color="auto"/>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5</w:t>
            </w:r>
          </w:p>
        </w:tc>
        <w:tc>
          <w:tcPr>
            <w:tcW w:w="806"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4" w:space="0" w:color="auto"/>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《长春市再生资源回收利用管理办法》</w:t>
            </w:r>
          </w:p>
        </w:tc>
        <w:tc>
          <w:tcPr>
            <w:tcW w:w="953" w:type="dxa"/>
            <w:tcBorders>
              <w:top w:val="single" w:sz="8" w:space="0" w:color="000000"/>
              <w:left w:val="single" w:sz="8" w:space="0" w:color="000000"/>
              <w:bottom w:val="single" w:sz="4" w:space="0" w:color="auto"/>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4" w:space="0" w:color="auto"/>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2021</w:t>
            </w:r>
            <w:r>
              <w:rPr>
                <w:rFonts w:ascii="宋体" w:eastAsia="宋体" w:hAnsi="宋体" w:cs="宋体"/>
                <w:sz w:val="24"/>
                <w:szCs w:val="24"/>
              </w:rPr>
              <w:t>年</w:t>
            </w:r>
          </w:p>
        </w:tc>
        <w:tc>
          <w:tcPr>
            <w:tcW w:w="3336" w:type="dxa"/>
            <w:tcBorders>
              <w:top w:val="single" w:sz="8" w:space="0" w:color="000000"/>
              <w:left w:val="single" w:sz="8" w:space="0" w:color="000000"/>
              <w:bottom w:val="single" w:sz="4" w:space="0" w:color="auto"/>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市城市管理局</w:t>
            </w:r>
          </w:p>
        </w:tc>
      </w:tr>
      <w:tr w:rsidR="005A1ADB">
        <w:trPr>
          <w:trHeight w:val="536"/>
        </w:trPr>
        <w:tc>
          <w:tcPr>
            <w:tcW w:w="4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6</w:t>
            </w:r>
          </w:p>
        </w:tc>
        <w:tc>
          <w:tcPr>
            <w:tcW w:w="80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4" w:space="0" w:color="auto"/>
              <w:left w:val="single" w:sz="4" w:space="0" w:color="auto"/>
              <w:bottom w:val="single" w:sz="4" w:space="0" w:color="auto"/>
              <w:right w:val="single" w:sz="4" w:space="0" w:color="auto"/>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《长春市餐厨垃圾管理暂行办法》</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2017</w:t>
            </w:r>
            <w:r>
              <w:rPr>
                <w:rFonts w:ascii="宋体" w:eastAsia="宋体" w:hAnsi="宋体" w:cs="宋体"/>
                <w:sz w:val="24"/>
                <w:szCs w:val="24"/>
              </w:rPr>
              <w:t>年（</w:t>
            </w:r>
            <w:r>
              <w:rPr>
                <w:rFonts w:ascii="宋体" w:eastAsia="宋体" w:hAnsi="宋体" w:cs="宋体"/>
                <w:sz w:val="24"/>
                <w:szCs w:val="24"/>
              </w:rPr>
              <w:t>2022</w:t>
            </w:r>
            <w:r>
              <w:rPr>
                <w:rFonts w:ascii="宋体" w:eastAsia="宋体" w:hAnsi="宋体" w:cs="宋体"/>
                <w:sz w:val="24"/>
                <w:szCs w:val="24"/>
              </w:rPr>
              <w:t>年修改）</w:t>
            </w:r>
          </w:p>
        </w:tc>
        <w:tc>
          <w:tcPr>
            <w:tcW w:w="33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市城市管理局</w:t>
            </w:r>
          </w:p>
        </w:tc>
      </w:tr>
      <w:tr w:rsidR="005A1ADB">
        <w:tc>
          <w:tcPr>
            <w:tcW w:w="4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7</w:t>
            </w:r>
          </w:p>
        </w:tc>
        <w:tc>
          <w:tcPr>
            <w:tcW w:w="80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4" w:space="0" w:color="auto"/>
              <w:left w:val="single" w:sz="4" w:space="0" w:color="auto"/>
              <w:bottom w:val="single" w:sz="4" w:space="0" w:color="auto"/>
              <w:right w:val="single" w:sz="4" w:space="0" w:color="auto"/>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《长春市城市排水与污水处理管理办法》</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2014</w:t>
            </w:r>
            <w:r>
              <w:rPr>
                <w:rFonts w:ascii="宋体" w:eastAsia="宋体" w:hAnsi="宋体" w:cs="宋体"/>
                <w:sz w:val="24"/>
                <w:szCs w:val="24"/>
              </w:rPr>
              <w:t>年（</w:t>
            </w:r>
            <w:r>
              <w:rPr>
                <w:rFonts w:ascii="宋体" w:eastAsia="宋体" w:hAnsi="宋体" w:cs="宋体"/>
                <w:sz w:val="24"/>
                <w:szCs w:val="24"/>
              </w:rPr>
              <w:t>2019</w:t>
            </w:r>
            <w:r>
              <w:rPr>
                <w:rFonts w:ascii="宋体" w:eastAsia="宋体" w:hAnsi="宋体" w:cs="宋体"/>
                <w:sz w:val="24"/>
                <w:szCs w:val="24"/>
              </w:rPr>
              <w:t>年修订）</w:t>
            </w:r>
          </w:p>
        </w:tc>
        <w:tc>
          <w:tcPr>
            <w:tcW w:w="333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市城乡建设委员会</w:t>
            </w:r>
          </w:p>
        </w:tc>
      </w:tr>
      <w:tr w:rsidR="005A1ADB">
        <w:tc>
          <w:tcPr>
            <w:tcW w:w="475" w:type="dxa"/>
            <w:tcBorders>
              <w:top w:val="single" w:sz="4" w:space="0" w:color="auto"/>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8</w:t>
            </w:r>
          </w:p>
        </w:tc>
        <w:tc>
          <w:tcPr>
            <w:tcW w:w="806" w:type="dxa"/>
            <w:vMerge/>
            <w:tcBorders>
              <w:top w:val="single" w:sz="4" w:space="0" w:color="auto"/>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4" w:space="0" w:color="auto"/>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《长春市城镇生活污水处理厂污泥处理处置管理办法》</w:t>
            </w:r>
          </w:p>
        </w:tc>
        <w:tc>
          <w:tcPr>
            <w:tcW w:w="953" w:type="dxa"/>
            <w:tcBorders>
              <w:top w:val="single" w:sz="4" w:space="0" w:color="auto"/>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待出台</w:t>
            </w:r>
          </w:p>
        </w:tc>
        <w:tc>
          <w:tcPr>
            <w:tcW w:w="1562" w:type="dxa"/>
            <w:tcBorders>
              <w:top w:val="single" w:sz="4" w:space="0" w:color="auto"/>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4" w:space="0" w:color="auto"/>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市城乡建设委员会</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9</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《长春市装配式建筑工程建设监管实施细则》</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2020</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市城乡建设委员会</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10</w:t>
            </w:r>
          </w:p>
        </w:tc>
        <w:tc>
          <w:tcPr>
            <w:tcW w:w="80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政策</w:t>
            </w: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《长春市人民政府办公厅关于加快发展装配式建筑的实施意见》</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2017</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市人民政府办公厅</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11</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《长春市关于进一步加强建筑垃圾规范化管理工作的实施意见》</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2020</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市城市管理局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12</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《长春市城市管理局关于加快推进我市建筑垃圾资源化利用和综合处置工作的通知》</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2021</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市城市管理局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13</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《关于推进长春市绿色建筑高质量发展的实施意见》</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2023</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市城乡建设委员会、市财政局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lastRenderedPageBreak/>
              <w:t>14</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《长春市生态环境保护综合行政执法事项指导目录（</w:t>
            </w:r>
            <w:r>
              <w:rPr>
                <w:rFonts w:ascii="宋体" w:eastAsia="宋体" w:hAnsi="宋体" w:cs="宋体"/>
                <w:sz w:val="24"/>
                <w:szCs w:val="24"/>
              </w:rPr>
              <w:t>2021</w:t>
            </w:r>
            <w:r>
              <w:rPr>
                <w:rFonts w:ascii="宋体" w:eastAsia="宋体" w:hAnsi="宋体" w:cs="宋体"/>
                <w:sz w:val="24"/>
                <w:szCs w:val="24"/>
              </w:rPr>
              <w:t>年版）》</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2021</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市生态环境局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15</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《长春市“散小微”企业危险废物收集转运体系建设环境监督管理指南》</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市生态环境局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16</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定期发布《长春市危险废物经营能力建设投资指导性公告》</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2021-2025</w:t>
            </w:r>
            <w:r>
              <w:rPr>
                <w:rFonts w:ascii="宋体" w:eastAsia="宋体" w:hAnsi="宋体" w:cs="宋体"/>
                <w:sz w:val="24"/>
                <w:szCs w:val="24"/>
              </w:rPr>
              <w:t>年</w:t>
            </w:r>
          </w:p>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2021</w:t>
            </w:r>
            <w:r>
              <w:rPr>
                <w:rFonts w:ascii="宋体" w:eastAsia="宋体" w:hAnsi="宋体" w:cs="宋体"/>
                <w:sz w:val="24"/>
                <w:szCs w:val="24"/>
              </w:rPr>
              <w:t>年已发布）</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市生态环境局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17</w:t>
            </w:r>
          </w:p>
        </w:tc>
        <w:tc>
          <w:tcPr>
            <w:tcW w:w="80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规划</w:t>
            </w: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《长春市国民经济和社会发展第十四个五年规划和</w:t>
            </w:r>
            <w:r>
              <w:rPr>
                <w:rFonts w:ascii="宋体" w:eastAsia="宋体" w:hAnsi="宋体" w:cs="宋体"/>
                <w:sz w:val="24"/>
                <w:szCs w:val="24"/>
              </w:rPr>
              <w:t xml:space="preserve"> 2035 </w:t>
            </w:r>
            <w:r>
              <w:rPr>
                <w:rFonts w:ascii="宋体" w:eastAsia="宋体" w:hAnsi="宋体" w:cs="宋体" w:hint="eastAsia"/>
                <w:sz w:val="24"/>
                <w:szCs w:val="24"/>
              </w:rPr>
              <w:t>年远景目标纲要》</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2021</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市人民政府</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18</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《长春市生态环境保护“十四五”规划》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市生态环境局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19</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《长春市危险废物污染防治和核与辐射安全“十四五”规划》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市生态环境局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《长春市城市建设发展“十四五”规划》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市城乡建设委员会</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21</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《长春市城镇排水发展“十四五”规划》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市城乡建设委员会</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22</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《长春市建筑业发展“十四五”规划》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市城乡建设委员会</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23</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《长春市工业发展“十四五”规划》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市工业和信息化局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24</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《长春市农业农村现代化”十四五“规划》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市农业农村局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25</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《长春市畜牧业发展“十四五”规划（</w:t>
            </w:r>
            <w:r>
              <w:rPr>
                <w:rFonts w:ascii="宋体" w:eastAsia="宋体" w:hAnsi="宋体" w:cs="宋体"/>
                <w:sz w:val="24"/>
                <w:szCs w:val="24"/>
              </w:rPr>
              <w:t>2021-2025</w:t>
            </w:r>
            <w:r>
              <w:rPr>
                <w:rFonts w:ascii="宋体" w:eastAsia="宋体" w:hAnsi="宋体" w:cs="宋体"/>
                <w:sz w:val="24"/>
                <w:szCs w:val="24"/>
              </w:rPr>
              <w:t>年）》</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市畜牧业管理局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26</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《长春市自然资源“十四五”规划》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市规划和自然资源局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27</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《长春市商务发展“十四五”规划纲要》</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市商务局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28</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《长春市财政改革和发展“十四五”规划》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市财政局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29</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《长春市邮政业发展“十四五”规划》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市邮政管理局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30</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《“双碳”示范城发展规划》</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市生态环境局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31</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《长春市环境卫生专项规划（</w:t>
            </w:r>
            <w:r>
              <w:rPr>
                <w:rFonts w:ascii="宋体" w:eastAsia="宋体" w:hAnsi="宋体" w:cs="宋体"/>
                <w:sz w:val="24"/>
                <w:szCs w:val="24"/>
              </w:rPr>
              <w:t>2021-2035</w:t>
            </w:r>
            <w:r>
              <w:rPr>
                <w:rFonts w:ascii="宋体" w:eastAsia="宋体" w:hAnsi="宋体" w:cs="宋体"/>
                <w:sz w:val="24"/>
                <w:szCs w:val="24"/>
              </w:rPr>
              <w:t>年）》</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长春市城市管理局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lastRenderedPageBreak/>
              <w:t>32</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《长春市城镇污水处理厂污泥处理处置专项规划（</w:t>
            </w:r>
            <w:r>
              <w:rPr>
                <w:rFonts w:ascii="宋体" w:eastAsia="宋体" w:hAnsi="宋体" w:cs="宋体"/>
                <w:sz w:val="24"/>
                <w:szCs w:val="24"/>
              </w:rPr>
              <w:t>2021-2035</w:t>
            </w:r>
            <w:r>
              <w:rPr>
                <w:rFonts w:ascii="宋体" w:eastAsia="宋体" w:hAnsi="宋体" w:cs="宋体"/>
                <w:sz w:val="24"/>
                <w:szCs w:val="24"/>
              </w:rPr>
              <w:t>）》</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市城乡建设委员会</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33</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《双阳区环境卫生专项规划（</w:t>
            </w:r>
            <w:r>
              <w:rPr>
                <w:rFonts w:ascii="宋体" w:eastAsia="宋体" w:hAnsi="宋体" w:cs="宋体"/>
                <w:sz w:val="24"/>
                <w:szCs w:val="24"/>
              </w:rPr>
              <w:t>2021-2035</w:t>
            </w:r>
            <w:r>
              <w:rPr>
                <w:rFonts w:ascii="宋体" w:eastAsia="宋体" w:hAnsi="宋体" w:cs="宋体"/>
                <w:sz w:val="24"/>
                <w:szCs w:val="24"/>
              </w:rPr>
              <w:t>年）》</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双阳区人民政府</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34</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《长春市关于加快建立健全绿色低碳循环发展经济体系的实施方案》</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市发改委</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35</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《“双碳”示范城建设实施方案》</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市生态环境局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36</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《长春市绿色建筑创建行动实施方案》</w:t>
            </w:r>
            <w:r>
              <w:rPr>
                <w:rFonts w:ascii="宋体" w:eastAsia="宋体" w:hAnsi="宋体" w:cs="宋体"/>
                <w:sz w:val="24"/>
                <w:szCs w:val="24"/>
              </w:rPr>
              <w:t xml:space="preserve"> </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2021</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市城乡建设委员会等七部门</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37</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《长春市政府采购支持绿色建材促进建筑品质提升试点工作实施方案》</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视财政部批复情况出台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待批复后择期出台</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市财政局、市城乡建设委员会</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38</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《长春市“秸秆变肉”暨三百万头肉牛产业建设工程实施方案》</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2021</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市农业农村局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39</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《长春市农药包装废弃物回收处置实施方案》</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已出台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2021</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市农业农村局</w:t>
            </w:r>
          </w:p>
        </w:tc>
      </w:tr>
      <w:tr w:rsidR="005A1ADB">
        <w:tc>
          <w:tcPr>
            <w:tcW w:w="47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40</w:t>
            </w:r>
          </w:p>
        </w:tc>
        <w:tc>
          <w:tcPr>
            <w:tcW w:w="80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5A1ADB">
            <w:pPr>
              <w:tabs>
                <w:tab w:val="left" w:pos="596"/>
              </w:tabs>
              <w:jc w:val="left"/>
              <w:rPr>
                <w:rFonts w:ascii="宋体" w:eastAsia="宋体" w:hAnsi="宋体" w:cs="宋体"/>
                <w:sz w:val="24"/>
                <w:szCs w:val="24"/>
              </w:rPr>
            </w:pPr>
          </w:p>
        </w:tc>
        <w:tc>
          <w:tcPr>
            <w:tcW w:w="7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《长春市废旧物资循环利用体系示范城市建设实施方案》</w:t>
            </w:r>
          </w:p>
        </w:tc>
        <w:tc>
          <w:tcPr>
            <w:tcW w:w="9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待出台</w:t>
            </w:r>
          </w:p>
        </w:tc>
        <w:tc>
          <w:tcPr>
            <w:tcW w:w="1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sz w:val="24"/>
                <w:szCs w:val="24"/>
              </w:rPr>
              <w:t>2022</w:t>
            </w:r>
            <w:r>
              <w:rPr>
                <w:rFonts w:ascii="宋体" w:eastAsia="宋体" w:hAnsi="宋体" w:cs="宋体"/>
                <w:sz w:val="24"/>
                <w:szCs w:val="24"/>
              </w:rPr>
              <w:t>年</w:t>
            </w:r>
          </w:p>
        </w:tc>
        <w:tc>
          <w:tcPr>
            <w:tcW w:w="333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A1ADB" w:rsidRDefault="000B6ECF">
            <w:pPr>
              <w:tabs>
                <w:tab w:val="left" w:pos="596"/>
              </w:tabs>
              <w:jc w:val="left"/>
              <w:rPr>
                <w:rFonts w:ascii="宋体" w:eastAsia="宋体" w:hAnsi="宋体" w:cs="宋体"/>
                <w:sz w:val="24"/>
                <w:szCs w:val="24"/>
              </w:rPr>
            </w:pPr>
            <w:r>
              <w:rPr>
                <w:rFonts w:ascii="宋体" w:eastAsia="宋体" w:hAnsi="宋体" w:cs="宋体" w:hint="eastAsia"/>
                <w:sz w:val="24"/>
                <w:szCs w:val="24"/>
              </w:rPr>
              <w:t>市供销合作社联合社</w:t>
            </w:r>
          </w:p>
        </w:tc>
      </w:tr>
    </w:tbl>
    <w:p w:rsidR="005A1ADB" w:rsidRDefault="005A1ADB">
      <w:pPr>
        <w:jc w:val="left"/>
        <w:outlineLvl w:val="0"/>
        <w:rPr>
          <w:rStyle w:val="af"/>
          <w:rFonts w:ascii="宋体" w:hAnsi="宋体" w:cs="宋体"/>
          <w:sz w:val="28"/>
          <w:szCs w:val="28"/>
        </w:rPr>
      </w:pPr>
    </w:p>
    <w:p w:rsidR="005A1ADB" w:rsidRDefault="005A1ADB">
      <w:pPr>
        <w:tabs>
          <w:tab w:val="left" w:pos="1719"/>
        </w:tabs>
        <w:spacing w:line="480" w:lineRule="auto"/>
        <w:rPr>
          <w:b/>
          <w:sz w:val="36"/>
        </w:rPr>
      </w:pPr>
    </w:p>
    <w:sectPr w:rsidR="005A1ADB" w:rsidSect="005A1AD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ECF" w:rsidRDefault="000B6ECF" w:rsidP="005A1ADB">
      <w:r>
        <w:separator/>
      </w:r>
    </w:p>
  </w:endnote>
  <w:endnote w:type="continuationSeparator" w:id="0">
    <w:p w:rsidR="000B6ECF" w:rsidRDefault="000B6ECF" w:rsidP="005A1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YaHei">
    <w:altName w:val="Segoe Print"/>
    <w:charset w:val="00"/>
    <w:family w:val="auto"/>
    <w:pitch w:val="default"/>
    <w:sig w:usb0="00000000" w:usb1="00000000" w:usb2="00000000" w:usb3="00000000" w:csb0="00000000" w:csb1="00000000"/>
  </w:font>
  <w:font w:name="ArialMT">
    <w:altName w:val="Times New Roman"/>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DB" w:rsidRDefault="005A1ADB">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5A1ADB" w:rsidRDefault="005A1ADB">
                <w:pPr>
                  <w:pStyle w:val="aa"/>
                </w:pPr>
                <w:r>
                  <w:fldChar w:fldCharType="begin"/>
                </w:r>
                <w:r w:rsidR="000B6ECF">
                  <w:instrText xml:space="preserve"> PAGE  \* MERGEFORMAT </w:instrText>
                </w:r>
                <w:r>
                  <w:fldChar w:fldCharType="separate"/>
                </w:r>
                <w:r w:rsidR="00033A19">
                  <w:rPr>
                    <w:noProof/>
                  </w:rPr>
                  <w:t>ii</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DB" w:rsidRDefault="005A1ADB">
    <w:pPr>
      <w:pStyle w:val="aa"/>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filled="f" stroked="f" strokeweight=".5pt">
          <v:textbox style="mso-fit-shape-to-text:t" inset="0,0,0,0">
            <w:txbxContent>
              <w:p w:rsidR="005A1ADB" w:rsidRDefault="005A1ADB">
                <w:pPr>
                  <w:pStyle w:val="aa"/>
                </w:pPr>
                <w:r>
                  <w:fldChar w:fldCharType="begin"/>
                </w:r>
                <w:r w:rsidR="000B6ECF">
                  <w:instrText xml:space="preserve"> PAGE  \* MERGEFORMAT </w:instrText>
                </w:r>
                <w:r>
                  <w:fldChar w:fldCharType="separate"/>
                </w:r>
                <w:r w:rsidR="00033A19">
                  <w:rPr>
                    <w:noProof/>
                  </w:rPr>
                  <w:t>98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ECF" w:rsidRDefault="000B6ECF" w:rsidP="005A1ADB">
      <w:r>
        <w:separator/>
      </w:r>
    </w:p>
  </w:footnote>
  <w:footnote w:type="continuationSeparator" w:id="0">
    <w:p w:rsidR="000B6ECF" w:rsidRDefault="000B6ECF" w:rsidP="005A1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C0821E"/>
    <w:multiLevelType w:val="singleLevel"/>
    <w:tmpl w:val="C8C0821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U2Y2RjYTQzMDdmZmUyM2Y4NjNiNWY2MjQ5YzQwNTIifQ=="/>
  </w:docVars>
  <w:rsids>
    <w:rsidRoot w:val="00133B7B"/>
    <w:rsid w:val="0000190F"/>
    <w:rsid w:val="00001985"/>
    <w:rsid w:val="000101B5"/>
    <w:rsid w:val="00025D85"/>
    <w:rsid w:val="00033A19"/>
    <w:rsid w:val="000365EA"/>
    <w:rsid w:val="00040B5A"/>
    <w:rsid w:val="00041685"/>
    <w:rsid w:val="00051398"/>
    <w:rsid w:val="000539C3"/>
    <w:rsid w:val="000561FD"/>
    <w:rsid w:val="00060372"/>
    <w:rsid w:val="00060462"/>
    <w:rsid w:val="0006168F"/>
    <w:rsid w:val="00073539"/>
    <w:rsid w:val="000739A5"/>
    <w:rsid w:val="00082044"/>
    <w:rsid w:val="00085669"/>
    <w:rsid w:val="0009185B"/>
    <w:rsid w:val="00094248"/>
    <w:rsid w:val="00094305"/>
    <w:rsid w:val="000A657A"/>
    <w:rsid w:val="000B038D"/>
    <w:rsid w:val="000B55C9"/>
    <w:rsid w:val="000B6ECF"/>
    <w:rsid w:val="000C0ED4"/>
    <w:rsid w:val="000C10F5"/>
    <w:rsid w:val="000C3A38"/>
    <w:rsid w:val="000D1E6F"/>
    <w:rsid w:val="000E09E0"/>
    <w:rsid w:val="000E6F92"/>
    <w:rsid w:val="000F4B48"/>
    <w:rsid w:val="000F76DC"/>
    <w:rsid w:val="001039A2"/>
    <w:rsid w:val="00111926"/>
    <w:rsid w:val="00114AA8"/>
    <w:rsid w:val="00115EA2"/>
    <w:rsid w:val="00126245"/>
    <w:rsid w:val="00133B7B"/>
    <w:rsid w:val="00136124"/>
    <w:rsid w:val="00143554"/>
    <w:rsid w:val="00153B2C"/>
    <w:rsid w:val="00157205"/>
    <w:rsid w:val="00162471"/>
    <w:rsid w:val="00162D72"/>
    <w:rsid w:val="00162EDA"/>
    <w:rsid w:val="0016328E"/>
    <w:rsid w:val="001660E8"/>
    <w:rsid w:val="00170BCC"/>
    <w:rsid w:val="00181033"/>
    <w:rsid w:val="0018230A"/>
    <w:rsid w:val="00182C64"/>
    <w:rsid w:val="00186CF2"/>
    <w:rsid w:val="001875BC"/>
    <w:rsid w:val="0018795E"/>
    <w:rsid w:val="00192151"/>
    <w:rsid w:val="001A619A"/>
    <w:rsid w:val="001B30ED"/>
    <w:rsid w:val="001B6171"/>
    <w:rsid w:val="001B753A"/>
    <w:rsid w:val="001D3CE1"/>
    <w:rsid w:val="001E678A"/>
    <w:rsid w:val="001E6AD3"/>
    <w:rsid w:val="001E7D1F"/>
    <w:rsid w:val="001F4947"/>
    <w:rsid w:val="00204B6C"/>
    <w:rsid w:val="00226934"/>
    <w:rsid w:val="00231BE6"/>
    <w:rsid w:val="00272806"/>
    <w:rsid w:val="00274696"/>
    <w:rsid w:val="00284CCE"/>
    <w:rsid w:val="002902AA"/>
    <w:rsid w:val="00297A50"/>
    <w:rsid w:val="002A0072"/>
    <w:rsid w:val="002B0E39"/>
    <w:rsid w:val="002B7C01"/>
    <w:rsid w:val="002C0F0B"/>
    <w:rsid w:val="00312BEC"/>
    <w:rsid w:val="00315453"/>
    <w:rsid w:val="00322A07"/>
    <w:rsid w:val="00323960"/>
    <w:rsid w:val="00326DD7"/>
    <w:rsid w:val="003331BA"/>
    <w:rsid w:val="00340CC7"/>
    <w:rsid w:val="00347EF1"/>
    <w:rsid w:val="00360654"/>
    <w:rsid w:val="0037293A"/>
    <w:rsid w:val="0038743E"/>
    <w:rsid w:val="00390A4F"/>
    <w:rsid w:val="00395B9A"/>
    <w:rsid w:val="0039634D"/>
    <w:rsid w:val="003A48E0"/>
    <w:rsid w:val="003A5617"/>
    <w:rsid w:val="003B055D"/>
    <w:rsid w:val="003B1767"/>
    <w:rsid w:val="003B1F1F"/>
    <w:rsid w:val="003B2CF1"/>
    <w:rsid w:val="003B304A"/>
    <w:rsid w:val="003B47A7"/>
    <w:rsid w:val="003B689C"/>
    <w:rsid w:val="003C3508"/>
    <w:rsid w:val="003C3F7F"/>
    <w:rsid w:val="003C762D"/>
    <w:rsid w:val="003D5B5C"/>
    <w:rsid w:val="003E71C8"/>
    <w:rsid w:val="003F473B"/>
    <w:rsid w:val="003F69E8"/>
    <w:rsid w:val="004070A9"/>
    <w:rsid w:val="004319B1"/>
    <w:rsid w:val="00433393"/>
    <w:rsid w:val="00443656"/>
    <w:rsid w:val="00444DE9"/>
    <w:rsid w:val="00460346"/>
    <w:rsid w:val="004635B0"/>
    <w:rsid w:val="00470774"/>
    <w:rsid w:val="00470FD8"/>
    <w:rsid w:val="00471EA2"/>
    <w:rsid w:val="00473144"/>
    <w:rsid w:val="00477B60"/>
    <w:rsid w:val="004942A5"/>
    <w:rsid w:val="004A5A38"/>
    <w:rsid w:val="004B7E0D"/>
    <w:rsid w:val="004B7E92"/>
    <w:rsid w:val="004C5A73"/>
    <w:rsid w:val="004D238C"/>
    <w:rsid w:val="004D27A4"/>
    <w:rsid w:val="004F5F08"/>
    <w:rsid w:val="005016F2"/>
    <w:rsid w:val="00504022"/>
    <w:rsid w:val="00506FC4"/>
    <w:rsid w:val="005226DF"/>
    <w:rsid w:val="005234E2"/>
    <w:rsid w:val="00523B99"/>
    <w:rsid w:val="005276B6"/>
    <w:rsid w:val="00527D3D"/>
    <w:rsid w:val="00540EFD"/>
    <w:rsid w:val="00545DEC"/>
    <w:rsid w:val="00556775"/>
    <w:rsid w:val="005626DE"/>
    <w:rsid w:val="0056675B"/>
    <w:rsid w:val="0056685A"/>
    <w:rsid w:val="00567885"/>
    <w:rsid w:val="0058119B"/>
    <w:rsid w:val="0058466B"/>
    <w:rsid w:val="00587B10"/>
    <w:rsid w:val="005A1ADB"/>
    <w:rsid w:val="005B2AC6"/>
    <w:rsid w:val="005B3A6A"/>
    <w:rsid w:val="005C1DDB"/>
    <w:rsid w:val="005C7052"/>
    <w:rsid w:val="005C7D02"/>
    <w:rsid w:val="005D13EE"/>
    <w:rsid w:val="005D236C"/>
    <w:rsid w:val="005D2FD6"/>
    <w:rsid w:val="005E02B9"/>
    <w:rsid w:val="005F2B84"/>
    <w:rsid w:val="005F56DA"/>
    <w:rsid w:val="005F64AF"/>
    <w:rsid w:val="00601AA8"/>
    <w:rsid w:val="00603A67"/>
    <w:rsid w:val="00607FFB"/>
    <w:rsid w:val="006100B1"/>
    <w:rsid w:val="006140D5"/>
    <w:rsid w:val="00620276"/>
    <w:rsid w:val="006541C0"/>
    <w:rsid w:val="00655DFB"/>
    <w:rsid w:val="00661E33"/>
    <w:rsid w:val="006622A3"/>
    <w:rsid w:val="00664BA8"/>
    <w:rsid w:val="00666504"/>
    <w:rsid w:val="00680F48"/>
    <w:rsid w:val="006A1319"/>
    <w:rsid w:val="006A1326"/>
    <w:rsid w:val="006A25DC"/>
    <w:rsid w:val="006B213D"/>
    <w:rsid w:val="006B4C75"/>
    <w:rsid w:val="006B4E0B"/>
    <w:rsid w:val="006B5C18"/>
    <w:rsid w:val="006B5E02"/>
    <w:rsid w:val="006C061C"/>
    <w:rsid w:val="006C13BD"/>
    <w:rsid w:val="006C279D"/>
    <w:rsid w:val="006C5DB3"/>
    <w:rsid w:val="006C685C"/>
    <w:rsid w:val="006C6C3E"/>
    <w:rsid w:val="006D7ABC"/>
    <w:rsid w:val="006E7A59"/>
    <w:rsid w:val="00702363"/>
    <w:rsid w:val="00715455"/>
    <w:rsid w:val="007159DF"/>
    <w:rsid w:val="007161EE"/>
    <w:rsid w:val="00724D56"/>
    <w:rsid w:val="00726F4C"/>
    <w:rsid w:val="00735A24"/>
    <w:rsid w:val="007404F8"/>
    <w:rsid w:val="00745AE0"/>
    <w:rsid w:val="00750C5A"/>
    <w:rsid w:val="0076081B"/>
    <w:rsid w:val="00760CBA"/>
    <w:rsid w:val="00763D48"/>
    <w:rsid w:val="0076677F"/>
    <w:rsid w:val="00767CD8"/>
    <w:rsid w:val="0077229C"/>
    <w:rsid w:val="00780E4E"/>
    <w:rsid w:val="00781A1C"/>
    <w:rsid w:val="007A12C9"/>
    <w:rsid w:val="007A7948"/>
    <w:rsid w:val="007B483C"/>
    <w:rsid w:val="007B5482"/>
    <w:rsid w:val="007C0673"/>
    <w:rsid w:val="007D1303"/>
    <w:rsid w:val="007D4ED2"/>
    <w:rsid w:val="007E00F0"/>
    <w:rsid w:val="007E0FF8"/>
    <w:rsid w:val="007E7CA7"/>
    <w:rsid w:val="007F0AAF"/>
    <w:rsid w:val="00801EF7"/>
    <w:rsid w:val="00807CB4"/>
    <w:rsid w:val="0081160C"/>
    <w:rsid w:val="00812890"/>
    <w:rsid w:val="00817CEF"/>
    <w:rsid w:val="00827D2F"/>
    <w:rsid w:val="008303FF"/>
    <w:rsid w:val="00831B21"/>
    <w:rsid w:val="00840108"/>
    <w:rsid w:val="00841531"/>
    <w:rsid w:val="008504AF"/>
    <w:rsid w:val="00856820"/>
    <w:rsid w:val="00863417"/>
    <w:rsid w:val="008732E8"/>
    <w:rsid w:val="00873D6C"/>
    <w:rsid w:val="0087410F"/>
    <w:rsid w:val="008820C6"/>
    <w:rsid w:val="008837AD"/>
    <w:rsid w:val="008922C8"/>
    <w:rsid w:val="00896C6C"/>
    <w:rsid w:val="008A1DB8"/>
    <w:rsid w:val="008A2EFC"/>
    <w:rsid w:val="008B3466"/>
    <w:rsid w:val="008B40CD"/>
    <w:rsid w:val="008B54AD"/>
    <w:rsid w:val="008D488C"/>
    <w:rsid w:val="008D4FA9"/>
    <w:rsid w:val="008E025D"/>
    <w:rsid w:val="008E11C7"/>
    <w:rsid w:val="008E34A0"/>
    <w:rsid w:val="00900F60"/>
    <w:rsid w:val="00902700"/>
    <w:rsid w:val="00905936"/>
    <w:rsid w:val="00912CFE"/>
    <w:rsid w:val="00930740"/>
    <w:rsid w:val="009313A1"/>
    <w:rsid w:val="009316A5"/>
    <w:rsid w:val="009367EA"/>
    <w:rsid w:val="00941A33"/>
    <w:rsid w:val="00952BA2"/>
    <w:rsid w:val="00961D7C"/>
    <w:rsid w:val="00963D52"/>
    <w:rsid w:val="00971675"/>
    <w:rsid w:val="00971801"/>
    <w:rsid w:val="0097603B"/>
    <w:rsid w:val="00977553"/>
    <w:rsid w:val="009A00B2"/>
    <w:rsid w:val="009C18F2"/>
    <w:rsid w:val="009D446C"/>
    <w:rsid w:val="009D5EFE"/>
    <w:rsid w:val="009D74D5"/>
    <w:rsid w:val="009E4429"/>
    <w:rsid w:val="009E516B"/>
    <w:rsid w:val="009F524D"/>
    <w:rsid w:val="00A003E2"/>
    <w:rsid w:val="00A069C2"/>
    <w:rsid w:val="00A06CB1"/>
    <w:rsid w:val="00A12169"/>
    <w:rsid w:val="00A14DFA"/>
    <w:rsid w:val="00A20461"/>
    <w:rsid w:val="00A3045F"/>
    <w:rsid w:val="00A3163E"/>
    <w:rsid w:val="00A52506"/>
    <w:rsid w:val="00A60E25"/>
    <w:rsid w:val="00A61339"/>
    <w:rsid w:val="00A7070F"/>
    <w:rsid w:val="00A71966"/>
    <w:rsid w:val="00A74F60"/>
    <w:rsid w:val="00A75EE5"/>
    <w:rsid w:val="00A838E9"/>
    <w:rsid w:val="00A83DA4"/>
    <w:rsid w:val="00A87059"/>
    <w:rsid w:val="00A96F3D"/>
    <w:rsid w:val="00AA7997"/>
    <w:rsid w:val="00AB21DA"/>
    <w:rsid w:val="00AB74A5"/>
    <w:rsid w:val="00AB7E6D"/>
    <w:rsid w:val="00AC7E96"/>
    <w:rsid w:val="00AE35FE"/>
    <w:rsid w:val="00AE5B58"/>
    <w:rsid w:val="00AF114E"/>
    <w:rsid w:val="00B00BB1"/>
    <w:rsid w:val="00B041D6"/>
    <w:rsid w:val="00B06014"/>
    <w:rsid w:val="00B07E6E"/>
    <w:rsid w:val="00B26958"/>
    <w:rsid w:val="00B3446B"/>
    <w:rsid w:val="00B3515F"/>
    <w:rsid w:val="00B37768"/>
    <w:rsid w:val="00B37A41"/>
    <w:rsid w:val="00B41825"/>
    <w:rsid w:val="00B4470E"/>
    <w:rsid w:val="00B616C6"/>
    <w:rsid w:val="00B62437"/>
    <w:rsid w:val="00B62F60"/>
    <w:rsid w:val="00B7461E"/>
    <w:rsid w:val="00B74A69"/>
    <w:rsid w:val="00B77AD8"/>
    <w:rsid w:val="00B81DF2"/>
    <w:rsid w:val="00B92DA8"/>
    <w:rsid w:val="00B9414E"/>
    <w:rsid w:val="00B962D6"/>
    <w:rsid w:val="00BA5DD0"/>
    <w:rsid w:val="00BA6A60"/>
    <w:rsid w:val="00BC12C4"/>
    <w:rsid w:val="00BC2EA6"/>
    <w:rsid w:val="00BD558A"/>
    <w:rsid w:val="00BE68F8"/>
    <w:rsid w:val="00BE7217"/>
    <w:rsid w:val="00BF0F01"/>
    <w:rsid w:val="00BF1446"/>
    <w:rsid w:val="00BF3F43"/>
    <w:rsid w:val="00BF7B85"/>
    <w:rsid w:val="00C05525"/>
    <w:rsid w:val="00C07A81"/>
    <w:rsid w:val="00C112C1"/>
    <w:rsid w:val="00C14C79"/>
    <w:rsid w:val="00C22AC7"/>
    <w:rsid w:val="00C314D8"/>
    <w:rsid w:val="00C3232B"/>
    <w:rsid w:val="00C366E0"/>
    <w:rsid w:val="00C45B4B"/>
    <w:rsid w:val="00C66098"/>
    <w:rsid w:val="00C67B64"/>
    <w:rsid w:val="00C806C4"/>
    <w:rsid w:val="00C82925"/>
    <w:rsid w:val="00C86FA8"/>
    <w:rsid w:val="00C90498"/>
    <w:rsid w:val="00C916D6"/>
    <w:rsid w:val="00CA3933"/>
    <w:rsid w:val="00CA5304"/>
    <w:rsid w:val="00CA6502"/>
    <w:rsid w:val="00CA7A9B"/>
    <w:rsid w:val="00CB3565"/>
    <w:rsid w:val="00CC0447"/>
    <w:rsid w:val="00CC56E9"/>
    <w:rsid w:val="00CD6B35"/>
    <w:rsid w:val="00CE0B62"/>
    <w:rsid w:val="00D042B5"/>
    <w:rsid w:val="00D101D8"/>
    <w:rsid w:val="00D10F55"/>
    <w:rsid w:val="00D210FD"/>
    <w:rsid w:val="00D3468E"/>
    <w:rsid w:val="00D3613B"/>
    <w:rsid w:val="00D428BC"/>
    <w:rsid w:val="00D42D35"/>
    <w:rsid w:val="00D67E2D"/>
    <w:rsid w:val="00D72B97"/>
    <w:rsid w:val="00D75F84"/>
    <w:rsid w:val="00D85348"/>
    <w:rsid w:val="00D91C04"/>
    <w:rsid w:val="00D93B2C"/>
    <w:rsid w:val="00DA3AE5"/>
    <w:rsid w:val="00DA3EA5"/>
    <w:rsid w:val="00DB17CA"/>
    <w:rsid w:val="00DB55AB"/>
    <w:rsid w:val="00DC0FFE"/>
    <w:rsid w:val="00DC2DFA"/>
    <w:rsid w:val="00DC5806"/>
    <w:rsid w:val="00DC7962"/>
    <w:rsid w:val="00DD125B"/>
    <w:rsid w:val="00DD7958"/>
    <w:rsid w:val="00DE3E2A"/>
    <w:rsid w:val="00DF0111"/>
    <w:rsid w:val="00E02AC8"/>
    <w:rsid w:val="00E0332B"/>
    <w:rsid w:val="00E07C58"/>
    <w:rsid w:val="00E11AA9"/>
    <w:rsid w:val="00E23620"/>
    <w:rsid w:val="00E23910"/>
    <w:rsid w:val="00E24E2C"/>
    <w:rsid w:val="00E31C6C"/>
    <w:rsid w:val="00E400DD"/>
    <w:rsid w:val="00E45BCE"/>
    <w:rsid w:val="00E507A8"/>
    <w:rsid w:val="00E54BAD"/>
    <w:rsid w:val="00E56F0A"/>
    <w:rsid w:val="00E71733"/>
    <w:rsid w:val="00E71E8F"/>
    <w:rsid w:val="00E803D1"/>
    <w:rsid w:val="00E84AC0"/>
    <w:rsid w:val="00E9067B"/>
    <w:rsid w:val="00EA42D4"/>
    <w:rsid w:val="00EA61CF"/>
    <w:rsid w:val="00EC3A87"/>
    <w:rsid w:val="00EC4BC9"/>
    <w:rsid w:val="00EC509C"/>
    <w:rsid w:val="00EC528B"/>
    <w:rsid w:val="00EC73D1"/>
    <w:rsid w:val="00ED7034"/>
    <w:rsid w:val="00EF0034"/>
    <w:rsid w:val="00EF0555"/>
    <w:rsid w:val="00EF3689"/>
    <w:rsid w:val="00EF4CBC"/>
    <w:rsid w:val="00F0096F"/>
    <w:rsid w:val="00F11BEE"/>
    <w:rsid w:val="00F16214"/>
    <w:rsid w:val="00F37C3C"/>
    <w:rsid w:val="00F42279"/>
    <w:rsid w:val="00F42B0B"/>
    <w:rsid w:val="00F4441E"/>
    <w:rsid w:val="00F44738"/>
    <w:rsid w:val="00F53DEB"/>
    <w:rsid w:val="00F614C5"/>
    <w:rsid w:val="00F63E37"/>
    <w:rsid w:val="00F831C0"/>
    <w:rsid w:val="00FA5B82"/>
    <w:rsid w:val="00FB0205"/>
    <w:rsid w:val="00FB03D5"/>
    <w:rsid w:val="00FB13D0"/>
    <w:rsid w:val="00FB215A"/>
    <w:rsid w:val="00FB3D05"/>
    <w:rsid w:val="00FB3E61"/>
    <w:rsid w:val="00FB73EE"/>
    <w:rsid w:val="00FC0F2C"/>
    <w:rsid w:val="00FD157D"/>
    <w:rsid w:val="00FD1A72"/>
    <w:rsid w:val="00FD34CD"/>
    <w:rsid w:val="00FD6052"/>
    <w:rsid w:val="00FD7836"/>
    <w:rsid w:val="00FF5DD4"/>
    <w:rsid w:val="011758C0"/>
    <w:rsid w:val="01261457"/>
    <w:rsid w:val="0136557F"/>
    <w:rsid w:val="018347B6"/>
    <w:rsid w:val="018A58CB"/>
    <w:rsid w:val="01920139"/>
    <w:rsid w:val="01C965D6"/>
    <w:rsid w:val="01FC0C52"/>
    <w:rsid w:val="021D5476"/>
    <w:rsid w:val="023D43A6"/>
    <w:rsid w:val="02535B5E"/>
    <w:rsid w:val="026179BB"/>
    <w:rsid w:val="02766859"/>
    <w:rsid w:val="02B40E52"/>
    <w:rsid w:val="02FD6B21"/>
    <w:rsid w:val="03304250"/>
    <w:rsid w:val="03313429"/>
    <w:rsid w:val="03373DF5"/>
    <w:rsid w:val="03661A20"/>
    <w:rsid w:val="036F2FCB"/>
    <w:rsid w:val="039A3B2B"/>
    <w:rsid w:val="03A415A2"/>
    <w:rsid w:val="03B15EF5"/>
    <w:rsid w:val="03BA0F1B"/>
    <w:rsid w:val="04153324"/>
    <w:rsid w:val="042B5143"/>
    <w:rsid w:val="04381332"/>
    <w:rsid w:val="0448469F"/>
    <w:rsid w:val="04590B7E"/>
    <w:rsid w:val="04713288"/>
    <w:rsid w:val="04931E6F"/>
    <w:rsid w:val="04997803"/>
    <w:rsid w:val="04A56F23"/>
    <w:rsid w:val="04E11C00"/>
    <w:rsid w:val="04F171B0"/>
    <w:rsid w:val="050D470B"/>
    <w:rsid w:val="052B2E2E"/>
    <w:rsid w:val="0582041B"/>
    <w:rsid w:val="0599432F"/>
    <w:rsid w:val="05A017C6"/>
    <w:rsid w:val="05C80770"/>
    <w:rsid w:val="05D962BA"/>
    <w:rsid w:val="05F31551"/>
    <w:rsid w:val="061220F2"/>
    <w:rsid w:val="06366E11"/>
    <w:rsid w:val="069F5A00"/>
    <w:rsid w:val="06A44D39"/>
    <w:rsid w:val="06A46080"/>
    <w:rsid w:val="07135696"/>
    <w:rsid w:val="0746339A"/>
    <w:rsid w:val="07705E32"/>
    <w:rsid w:val="07726BE5"/>
    <w:rsid w:val="07750484"/>
    <w:rsid w:val="077871E0"/>
    <w:rsid w:val="07D548E7"/>
    <w:rsid w:val="07E06245"/>
    <w:rsid w:val="07F66FD3"/>
    <w:rsid w:val="07F7074C"/>
    <w:rsid w:val="07F95AE9"/>
    <w:rsid w:val="07FB609B"/>
    <w:rsid w:val="07FD5E03"/>
    <w:rsid w:val="07FF74D2"/>
    <w:rsid w:val="080D3A6F"/>
    <w:rsid w:val="083D71F3"/>
    <w:rsid w:val="089A2095"/>
    <w:rsid w:val="08C52CF9"/>
    <w:rsid w:val="08F642A1"/>
    <w:rsid w:val="093E3F6E"/>
    <w:rsid w:val="0955056D"/>
    <w:rsid w:val="097D00A6"/>
    <w:rsid w:val="09952897"/>
    <w:rsid w:val="099E4F17"/>
    <w:rsid w:val="09D900D7"/>
    <w:rsid w:val="09DF7DCA"/>
    <w:rsid w:val="09F61D50"/>
    <w:rsid w:val="0A1C4797"/>
    <w:rsid w:val="0A4E6A23"/>
    <w:rsid w:val="0A5672F3"/>
    <w:rsid w:val="0A831D1C"/>
    <w:rsid w:val="0A901E04"/>
    <w:rsid w:val="0AD26F0E"/>
    <w:rsid w:val="0AD7010A"/>
    <w:rsid w:val="0B895F83"/>
    <w:rsid w:val="0B9A7E36"/>
    <w:rsid w:val="0BA65A7A"/>
    <w:rsid w:val="0BCA60AB"/>
    <w:rsid w:val="0BCD088E"/>
    <w:rsid w:val="0BD630CF"/>
    <w:rsid w:val="0BEA61C3"/>
    <w:rsid w:val="0BF67E37"/>
    <w:rsid w:val="0BFA4F8B"/>
    <w:rsid w:val="0C161D02"/>
    <w:rsid w:val="0C437B35"/>
    <w:rsid w:val="0C4E2FF7"/>
    <w:rsid w:val="0C733ECC"/>
    <w:rsid w:val="0C8D4DB5"/>
    <w:rsid w:val="0C98084C"/>
    <w:rsid w:val="0CAF0888"/>
    <w:rsid w:val="0D534D12"/>
    <w:rsid w:val="0D5F1DA3"/>
    <w:rsid w:val="0D637617"/>
    <w:rsid w:val="0D9811E6"/>
    <w:rsid w:val="0DA616C5"/>
    <w:rsid w:val="0DB05DDA"/>
    <w:rsid w:val="0DBB53CD"/>
    <w:rsid w:val="0DEB204A"/>
    <w:rsid w:val="0E034A3B"/>
    <w:rsid w:val="0E202C51"/>
    <w:rsid w:val="0E2E795C"/>
    <w:rsid w:val="0E3C1557"/>
    <w:rsid w:val="0E702AB2"/>
    <w:rsid w:val="0E97013A"/>
    <w:rsid w:val="0EB83670"/>
    <w:rsid w:val="0EE93A86"/>
    <w:rsid w:val="0F0E18EA"/>
    <w:rsid w:val="0F6E2388"/>
    <w:rsid w:val="0F6F3593"/>
    <w:rsid w:val="0FCC70AF"/>
    <w:rsid w:val="0FDC12A6"/>
    <w:rsid w:val="103D1068"/>
    <w:rsid w:val="104629B5"/>
    <w:rsid w:val="104F56EE"/>
    <w:rsid w:val="10637A13"/>
    <w:rsid w:val="10731163"/>
    <w:rsid w:val="10740C17"/>
    <w:rsid w:val="10B51742"/>
    <w:rsid w:val="10D97CD5"/>
    <w:rsid w:val="10DC424F"/>
    <w:rsid w:val="10EC17B7"/>
    <w:rsid w:val="10F208FF"/>
    <w:rsid w:val="10F8725B"/>
    <w:rsid w:val="10FA77BF"/>
    <w:rsid w:val="11001706"/>
    <w:rsid w:val="110A7EF2"/>
    <w:rsid w:val="110F1949"/>
    <w:rsid w:val="11670B55"/>
    <w:rsid w:val="118521B6"/>
    <w:rsid w:val="11A8208E"/>
    <w:rsid w:val="11C933EA"/>
    <w:rsid w:val="120F2E19"/>
    <w:rsid w:val="12124792"/>
    <w:rsid w:val="12216FBB"/>
    <w:rsid w:val="1226659C"/>
    <w:rsid w:val="12413A23"/>
    <w:rsid w:val="12656FF3"/>
    <w:rsid w:val="1276694A"/>
    <w:rsid w:val="127C0FB2"/>
    <w:rsid w:val="12DF2E7B"/>
    <w:rsid w:val="13135E04"/>
    <w:rsid w:val="1322037C"/>
    <w:rsid w:val="13346C10"/>
    <w:rsid w:val="13415C0E"/>
    <w:rsid w:val="139E3868"/>
    <w:rsid w:val="13AD4714"/>
    <w:rsid w:val="13C31970"/>
    <w:rsid w:val="13E84249"/>
    <w:rsid w:val="140212F1"/>
    <w:rsid w:val="141A7F4E"/>
    <w:rsid w:val="141F184B"/>
    <w:rsid w:val="142A624D"/>
    <w:rsid w:val="145204CA"/>
    <w:rsid w:val="14DC1B42"/>
    <w:rsid w:val="14EC069E"/>
    <w:rsid w:val="14FB2A5F"/>
    <w:rsid w:val="15107A3E"/>
    <w:rsid w:val="153C58D2"/>
    <w:rsid w:val="154D2A40"/>
    <w:rsid w:val="15CD70A6"/>
    <w:rsid w:val="15DD3DC4"/>
    <w:rsid w:val="15E17F08"/>
    <w:rsid w:val="15EB3F00"/>
    <w:rsid w:val="162276B5"/>
    <w:rsid w:val="162354A7"/>
    <w:rsid w:val="1626782C"/>
    <w:rsid w:val="163564E0"/>
    <w:rsid w:val="16A843D2"/>
    <w:rsid w:val="16D33FA6"/>
    <w:rsid w:val="16DF112C"/>
    <w:rsid w:val="16F6347E"/>
    <w:rsid w:val="171307CB"/>
    <w:rsid w:val="17780248"/>
    <w:rsid w:val="17980AD0"/>
    <w:rsid w:val="17A60220"/>
    <w:rsid w:val="17C246FF"/>
    <w:rsid w:val="181066D2"/>
    <w:rsid w:val="182F283A"/>
    <w:rsid w:val="185E0432"/>
    <w:rsid w:val="187E3A51"/>
    <w:rsid w:val="18C65AE5"/>
    <w:rsid w:val="18D56FD4"/>
    <w:rsid w:val="18D92F68"/>
    <w:rsid w:val="18EF62CA"/>
    <w:rsid w:val="190E0001"/>
    <w:rsid w:val="19197809"/>
    <w:rsid w:val="191B4825"/>
    <w:rsid w:val="194128BC"/>
    <w:rsid w:val="195E521C"/>
    <w:rsid w:val="19677BB0"/>
    <w:rsid w:val="19957F45"/>
    <w:rsid w:val="19E10119"/>
    <w:rsid w:val="19F12CFB"/>
    <w:rsid w:val="19FD67E3"/>
    <w:rsid w:val="1A75281D"/>
    <w:rsid w:val="1A832CE8"/>
    <w:rsid w:val="1A8C2D54"/>
    <w:rsid w:val="1AFF7797"/>
    <w:rsid w:val="1B040D88"/>
    <w:rsid w:val="1B067919"/>
    <w:rsid w:val="1B47520E"/>
    <w:rsid w:val="1B4A111D"/>
    <w:rsid w:val="1B5605CB"/>
    <w:rsid w:val="1B970EB9"/>
    <w:rsid w:val="1BD16179"/>
    <w:rsid w:val="1BE0460E"/>
    <w:rsid w:val="1BF331CB"/>
    <w:rsid w:val="1C136791"/>
    <w:rsid w:val="1C46388C"/>
    <w:rsid w:val="1C536615"/>
    <w:rsid w:val="1C922033"/>
    <w:rsid w:val="1CB60BE1"/>
    <w:rsid w:val="1CBA09BB"/>
    <w:rsid w:val="1CD557F5"/>
    <w:rsid w:val="1CFF1101"/>
    <w:rsid w:val="1D2544CD"/>
    <w:rsid w:val="1D582F74"/>
    <w:rsid w:val="1D7B4C88"/>
    <w:rsid w:val="1D7D4391"/>
    <w:rsid w:val="1D902173"/>
    <w:rsid w:val="1DBC2869"/>
    <w:rsid w:val="1DD147A6"/>
    <w:rsid w:val="1DD9320B"/>
    <w:rsid w:val="1DDA78CB"/>
    <w:rsid w:val="1DDC0E05"/>
    <w:rsid w:val="1E3D07C2"/>
    <w:rsid w:val="1E4A3FC0"/>
    <w:rsid w:val="1E862805"/>
    <w:rsid w:val="1EEF343A"/>
    <w:rsid w:val="1F0B4912"/>
    <w:rsid w:val="1F1B56D7"/>
    <w:rsid w:val="1F34078D"/>
    <w:rsid w:val="1F6200E4"/>
    <w:rsid w:val="1F675CE6"/>
    <w:rsid w:val="1FE24CB1"/>
    <w:rsid w:val="200119DD"/>
    <w:rsid w:val="202259BC"/>
    <w:rsid w:val="204C04C4"/>
    <w:rsid w:val="20971013"/>
    <w:rsid w:val="20D97D50"/>
    <w:rsid w:val="20DB1848"/>
    <w:rsid w:val="20EA6A48"/>
    <w:rsid w:val="20F169CB"/>
    <w:rsid w:val="211E4A1F"/>
    <w:rsid w:val="21265342"/>
    <w:rsid w:val="213F0B27"/>
    <w:rsid w:val="21526BA5"/>
    <w:rsid w:val="21AB2E9A"/>
    <w:rsid w:val="21C404C4"/>
    <w:rsid w:val="21E96BAE"/>
    <w:rsid w:val="21F00388"/>
    <w:rsid w:val="22063C3C"/>
    <w:rsid w:val="222D42BF"/>
    <w:rsid w:val="224711D2"/>
    <w:rsid w:val="22665141"/>
    <w:rsid w:val="227626EE"/>
    <w:rsid w:val="229849B8"/>
    <w:rsid w:val="22ED441D"/>
    <w:rsid w:val="22FE0908"/>
    <w:rsid w:val="23053120"/>
    <w:rsid w:val="231921B3"/>
    <w:rsid w:val="23333275"/>
    <w:rsid w:val="234952DF"/>
    <w:rsid w:val="23833FD8"/>
    <w:rsid w:val="23CF3701"/>
    <w:rsid w:val="2408383A"/>
    <w:rsid w:val="2415750E"/>
    <w:rsid w:val="241A307F"/>
    <w:rsid w:val="241F2559"/>
    <w:rsid w:val="242552B4"/>
    <w:rsid w:val="24451EFB"/>
    <w:rsid w:val="245636BF"/>
    <w:rsid w:val="24A65CC9"/>
    <w:rsid w:val="24D0086E"/>
    <w:rsid w:val="24D619E2"/>
    <w:rsid w:val="24D942F0"/>
    <w:rsid w:val="25064FBF"/>
    <w:rsid w:val="252B5709"/>
    <w:rsid w:val="253D5985"/>
    <w:rsid w:val="253D6410"/>
    <w:rsid w:val="255B2F57"/>
    <w:rsid w:val="257B0F03"/>
    <w:rsid w:val="25E901E7"/>
    <w:rsid w:val="25FD3414"/>
    <w:rsid w:val="26267A4D"/>
    <w:rsid w:val="266F2816"/>
    <w:rsid w:val="26D44242"/>
    <w:rsid w:val="26E4476B"/>
    <w:rsid w:val="26F471BF"/>
    <w:rsid w:val="270E73FA"/>
    <w:rsid w:val="271E248E"/>
    <w:rsid w:val="27220408"/>
    <w:rsid w:val="27321A96"/>
    <w:rsid w:val="27545846"/>
    <w:rsid w:val="282463A6"/>
    <w:rsid w:val="283830DC"/>
    <w:rsid w:val="286743B2"/>
    <w:rsid w:val="28822F9F"/>
    <w:rsid w:val="28824873"/>
    <w:rsid w:val="288A127F"/>
    <w:rsid w:val="28B213D7"/>
    <w:rsid w:val="28C606E7"/>
    <w:rsid w:val="28E706C1"/>
    <w:rsid w:val="28EC3187"/>
    <w:rsid w:val="291A7DE2"/>
    <w:rsid w:val="291C056B"/>
    <w:rsid w:val="291C240B"/>
    <w:rsid w:val="295B6C07"/>
    <w:rsid w:val="29B63FED"/>
    <w:rsid w:val="29D64975"/>
    <w:rsid w:val="29DC35AB"/>
    <w:rsid w:val="29FA48E1"/>
    <w:rsid w:val="2A1E224B"/>
    <w:rsid w:val="2A2C5368"/>
    <w:rsid w:val="2A361830"/>
    <w:rsid w:val="2A662182"/>
    <w:rsid w:val="2AA479D7"/>
    <w:rsid w:val="2AA87EB9"/>
    <w:rsid w:val="2AAC33FB"/>
    <w:rsid w:val="2AB32EED"/>
    <w:rsid w:val="2AC903B8"/>
    <w:rsid w:val="2ADD4AAF"/>
    <w:rsid w:val="2AFD0D1F"/>
    <w:rsid w:val="2B063CB5"/>
    <w:rsid w:val="2B645F92"/>
    <w:rsid w:val="2BA07B49"/>
    <w:rsid w:val="2C44464F"/>
    <w:rsid w:val="2C672FCB"/>
    <w:rsid w:val="2C881926"/>
    <w:rsid w:val="2C8B5C0C"/>
    <w:rsid w:val="2C9F3729"/>
    <w:rsid w:val="2CAE5CDE"/>
    <w:rsid w:val="2CC71076"/>
    <w:rsid w:val="2CCF4C96"/>
    <w:rsid w:val="2CD54228"/>
    <w:rsid w:val="2D08775D"/>
    <w:rsid w:val="2D2D51D9"/>
    <w:rsid w:val="2D520B3D"/>
    <w:rsid w:val="2D535391"/>
    <w:rsid w:val="2D926CC1"/>
    <w:rsid w:val="2DC007B4"/>
    <w:rsid w:val="2DE237D9"/>
    <w:rsid w:val="2DE955A4"/>
    <w:rsid w:val="2E0F4C32"/>
    <w:rsid w:val="2E1242B6"/>
    <w:rsid w:val="2E2E39A5"/>
    <w:rsid w:val="2E650FDC"/>
    <w:rsid w:val="2EA31329"/>
    <w:rsid w:val="2EA760D2"/>
    <w:rsid w:val="2ED0406E"/>
    <w:rsid w:val="2ED10236"/>
    <w:rsid w:val="2EFE6E2D"/>
    <w:rsid w:val="2F410EFC"/>
    <w:rsid w:val="2F4405B8"/>
    <w:rsid w:val="2F733476"/>
    <w:rsid w:val="2FA953BD"/>
    <w:rsid w:val="307F474E"/>
    <w:rsid w:val="3098322B"/>
    <w:rsid w:val="309D66B8"/>
    <w:rsid w:val="30B05C8E"/>
    <w:rsid w:val="30C67526"/>
    <w:rsid w:val="31122047"/>
    <w:rsid w:val="311C17EC"/>
    <w:rsid w:val="313D381C"/>
    <w:rsid w:val="314F71B4"/>
    <w:rsid w:val="31971A8A"/>
    <w:rsid w:val="31B83DAA"/>
    <w:rsid w:val="31CB7DB8"/>
    <w:rsid w:val="320E1ED6"/>
    <w:rsid w:val="320F4EAD"/>
    <w:rsid w:val="321B74F4"/>
    <w:rsid w:val="324D5521"/>
    <w:rsid w:val="32B91234"/>
    <w:rsid w:val="33044C2E"/>
    <w:rsid w:val="33050C1F"/>
    <w:rsid w:val="330B0D48"/>
    <w:rsid w:val="33254336"/>
    <w:rsid w:val="33390820"/>
    <w:rsid w:val="3348467E"/>
    <w:rsid w:val="33615F6F"/>
    <w:rsid w:val="33811ECF"/>
    <w:rsid w:val="338C0118"/>
    <w:rsid w:val="33FD7B04"/>
    <w:rsid w:val="341E3ACD"/>
    <w:rsid w:val="34B87A7E"/>
    <w:rsid w:val="34C63840"/>
    <w:rsid w:val="34D30271"/>
    <w:rsid w:val="34DD28D2"/>
    <w:rsid w:val="350C7DCA"/>
    <w:rsid w:val="35302703"/>
    <w:rsid w:val="353D58FA"/>
    <w:rsid w:val="358402CA"/>
    <w:rsid w:val="358604C7"/>
    <w:rsid w:val="3587034C"/>
    <w:rsid w:val="35C661CB"/>
    <w:rsid w:val="35D06ABB"/>
    <w:rsid w:val="35D8256C"/>
    <w:rsid w:val="35FD7B19"/>
    <w:rsid w:val="36084CCD"/>
    <w:rsid w:val="36492768"/>
    <w:rsid w:val="36771688"/>
    <w:rsid w:val="368C52DC"/>
    <w:rsid w:val="36A176B7"/>
    <w:rsid w:val="3718172F"/>
    <w:rsid w:val="373504F1"/>
    <w:rsid w:val="37475FA3"/>
    <w:rsid w:val="375E56CD"/>
    <w:rsid w:val="38286CC9"/>
    <w:rsid w:val="38782879"/>
    <w:rsid w:val="387D5A05"/>
    <w:rsid w:val="38AB70D2"/>
    <w:rsid w:val="38AD0691"/>
    <w:rsid w:val="38B021E3"/>
    <w:rsid w:val="38BE4119"/>
    <w:rsid w:val="38C055E1"/>
    <w:rsid w:val="38FC33C4"/>
    <w:rsid w:val="39335D96"/>
    <w:rsid w:val="394256A2"/>
    <w:rsid w:val="394418E0"/>
    <w:rsid w:val="395561BC"/>
    <w:rsid w:val="396E7682"/>
    <w:rsid w:val="397E34D4"/>
    <w:rsid w:val="3998109D"/>
    <w:rsid w:val="39B9768C"/>
    <w:rsid w:val="39EA2B7D"/>
    <w:rsid w:val="39F57C3D"/>
    <w:rsid w:val="3A182E3B"/>
    <w:rsid w:val="3A235C67"/>
    <w:rsid w:val="3ACF6716"/>
    <w:rsid w:val="3AD35612"/>
    <w:rsid w:val="3B2A104E"/>
    <w:rsid w:val="3B313F97"/>
    <w:rsid w:val="3B6B584A"/>
    <w:rsid w:val="3B7976C4"/>
    <w:rsid w:val="3BE7298A"/>
    <w:rsid w:val="3C29407D"/>
    <w:rsid w:val="3C636521"/>
    <w:rsid w:val="3CC33464"/>
    <w:rsid w:val="3CCE6B7D"/>
    <w:rsid w:val="3CD40AB3"/>
    <w:rsid w:val="3CE31F04"/>
    <w:rsid w:val="3D710433"/>
    <w:rsid w:val="3DDA0A65"/>
    <w:rsid w:val="3DFA246D"/>
    <w:rsid w:val="3E0536E8"/>
    <w:rsid w:val="3E1C107E"/>
    <w:rsid w:val="3E234641"/>
    <w:rsid w:val="3E2D328B"/>
    <w:rsid w:val="3E3207F4"/>
    <w:rsid w:val="3E5D5BC9"/>
    <w:rsid w:val="3E9037A2"/>
    <w:rsid w:val="3E94298F"/>
    <w:rsid w:val="3EA82911"/>
    <w:rsid w:val="3EB85CF5"/>
    <w:rsid w:val="3EE76411"/>
    <w:rsid w:val="3F087854"/>
    <w:rsid w:val="3F1251DD"/>
    <w:rsid w:val="3F1E0E25"/>
    <w:rsid w:val="3F351D50"/>
    <w:rsid w:val="3F446C67"/>
    <w:rsid w:val="3F5C58DE"/>
    <w:rsid w:val="3F8149E8"/>
    <w:rsid w:val="3F8F3AD1"/>
    <w:rsid w:val="3FCA1C8D"/>
    <w:rsid w:val="401F4A0A"/>
    <w:rsid w:val="40581E44"/>
    <w:rsid w:val="408829FA"/>
    <w:rsid w:val="408941C4"/>
    <w:rsid w:val="40A42B85"/>
    <w:rsid w:val="40A614FF"/>
    <w:rsid w:val="40AA0BC3"/>
    <w:rsid w:val="40EA5463"/>
    <w:rsid w:val="40EE32EE"/>
    <w:rsid w:val="40F81B16"/>
    <w:rsid w:val="41025E8A"/>
    <w:rsid w:val="410A663A"/>
    <w:rsid w:val="412D60B5"/>
    <w:rsid w:val="413A0853"/>
    <w:rsid w:val="413A3FB6"/>
    <w:rsid w:val="415A71E1"/>
    <w:rsid w:val="41601281"/>
    <w:rsid w:val="416B22FA"/>
    <w:rsid w:val="41806158"/>
    <w:rsid w:val="419F3BDC"/>
    <w:rsid w:val="41C03786"/>
    <w:rsid w:val="41C677FD"/>
    <w:rsid w:val="41D81760"/>
    <w:rsid w:val="421C2FA7"/>
    <w:rsid w:val="422A0570"/>
    <w:rsid w:val="423B30C3"/>
    <w:rsid w:val="42701E66"/>
    <w:rsid w:val="427379C1"/>
    <w:rsid w:val="42BC2168"/>
    <w:rsid w:val="42E95553"/>
    <w:rsid w:val="42F72026"/>
    <w:rsid w:val="43095949"/>
    <w:rsid w:val="432F1853"/>
    <w:rsid w:val="437B7E90"/>
    <w:rsid w:val="43C77160"/>
    <w:rsid w:val="43CF2888"/>
    <w:rsid w:val="44067C00"/>
    <w:rsid w:val="4430589B"/>
    <w:rsid w:val="44485A53"/>
    <w:rsid w:val="44580BC7"/>
    <w:rsid w:val="445D477A"/>
    <w:rsid w:val="446E0B54"/>
    <w:rsid w:val="44710455"/>
    <w:rsid w:val="44D81A76"/>
    <w:rsid w:val="450C24B5"/>
    <w:rsid w:val="45246D9A"/>
    <w:rsid w:val="454141DF"/>
    <w:rsid w:val="45B9003B"/>
    <w:rsid w:val="45BF399C"/>
    <w:rsid w:val="45C142F3"/>
    <w:rsid w:val="460D5750"/>
    <w:rsid w:val="46161508"/>
    <w:rsid w:val="465A46A3"/>
    <w:rsid w:val="46807B01"/>
    <w:rsid w:val="469B5704"/>
    <w:rsid w:val="46A26D6F"/>
    <w:rsid w:val="46AB1DD9"/>
    <w:rsid w:val="46DD15C6"/>
    <w:rsid w:val="46EC2271"/>
    <w:rsid w:val="4768036C"/>
    <w:rsid w:val="47697CA3"/>
    <w:rsid w:val="477D0CDF"/>
    <w:rsid w:val="478A3E5F"/>
    <w:rsid w:val="478D4D9A"/>
    <w:rsid w:val="47AA594C"/>
    <w:rsid w:val="47BF3DBF"/>
    <w:rsid w:val="47D51E1F"/>
    <w:rsid w:val="47DD5E3B"/>
    <w:rsid w:val="47E54646"/>
    <w:rsid w:val="47F60B91"/>
    <w:rsid w:val="481F3905"/>
    <w:rsid w:val="48220639"/>
    <w:rsid w:val="483E2E8C"/>
    <w:rsid w:val="48435459"/>
    <w:rsid w:val="484B7E67"/>
    <w:rsid w:val="48520997"/>
    <w:rsid w:val="487E6817"/>
    <w:rsid w:val="488B6BC1"/>
    <w:rsid w:val="49137B2D"/>
    <w:rsid w:val="49246D90"/>
    <w:rsid w:val="492C3CED"/>
    <w:rsid w:val="49777ED9"/>
    <w:rsid w:val="498C5DEE"/>
    <w:rsid w:val="49CF7327"/>
    <w:rsid w:val="4A084BAC"/>
    <w:rsid w:val="4A162E25"/>
    <w:rsid w:val="4A1D502D"/>
    <w:rsid w:val="4A252204"/>
    <w:rsid w:val="4A517E14"/>
    <w:rsid w:val="4A5D4EF8"/>
    <w:rsid w:val="4A6B76DF"/>
    <w:rsid w:val="4A7B7BAD"/>
    <w:rsid w:val="4ABD4BAA"/>
    <w:rsid w:val="4AC72371"/>
    <w:rsid w:val="4AD131F0"/>
    <w:rsid w:val="4B1A68E2"/>
    <w:rsid w:val="4B276599"/>
    <w:rsid w:val="4B4F120B"/>
    <w:rsid w:val="4B71239F"/>
    <w:rsid w:val="4B827446"/>
    <w:rsid w:val="4BAE1475"/>
    <w:rsid w:val="4BBD5522"/>
    <w:rsid w:val="4C050FAA"/>
    <w:rsid w:val="4C515481"/>
    <w:rsid w:val="4C6443B8"/>
    <w:rsid w:val="4C9422C1"/>
    <w:rsid w:val="4C9D673C"/>
    <w:rsid w:val="4CA90379"/>
    <w:rsid w:val="4CBE1C24"/>
    <w:rsid w:val="4D592664"/>
    <w:rsid w:val="4D7521AB"/>
    <w:rsid w:val="4D9549A9"/>
    <w:rsid w:val="4D9A5BA7"/>
    <w:rsid w:val="4DAD1323"/>
    <w:rsid w:val="4DC52D87"/>
    <w:rsid w:val="4DF532AB"/>
    <w:rsid w:val="4DFA0FDD"/>
    <w:rsid w:val="4E0705AC"/>
    <w:rsid w:val="4E2A50F1"/>
    <w:rsid w:val="4E463100"/>
    <w:rsid w:val="4E4E093A"/>
    <w:rsid w:val="4E8567CB"/>
    <w:rsid w:val="4E8E3DD6"/>
    <w:rsid w:val="4E9724F5"/>
    <w:rsid w:val="4EE56483"/>
    <w:rsid w:val="4EFD45B3"/>
    <w:rsid w:val="4F1D43D3"/>
    <w:rsid w:val="4F302BDB"/>
    <w:rsid w:val="4F786330"/>
    <w:rsid w:val="4F852689"/>
    <w:rsid w:val="4F874C94"/>
    <w:rsid w:val="4FEB0BF6"/>
    <w:rsid w:val="501A1195"/>
    <w:rsid w:val="50566671"/>
    <w:rsid w:val="50660CFD"/>
    <w:rsid w:val="507C3BFE"/>
    <w:rsid w:val="508E5545"/>
    <w:rsid w:val="50931AC4"/>
    <w:rsid w:val="50F47C38"/>
    <w:rsid w:val="50FF1C30"/>
    <w:rsid w:val="50FF6C0D"/>
    <w:rsid w:val="51254295"/>
    <w:rsid w:val="512B401E"/>
    <w:rsid w:val="512C73D2"/>
    <w:rsid w:val="51514AF5"/>
    <w:rsid w:val="515F1555"/>
    <w:rsid w:val="51AC4179"/>
    <w:rsid w:val="51BA49DE"/>
    <w:rsid w:val="51D00906"/>
    <w:rsid w:val="51D21341"/>
    <w:rsid w:val="521B5E89"/>
    <w:rsid w:val="521D6F27"/>
    <w:rsid w:val="522307D5"/>
    <w:rsid w:val="5236209C"/>
    <w:rsid w:val="525A7F6F"/>
    <w:rsid w:val="5295167A"/>
    <w:rsid w:val="52994AFB"/>
    <w:rsid w:val="52A044B2"/>
    <w:rsid w:val="52A2578D"/>
    <w:rsid w:val="52E75A5F"/>
    <w:rsid w:val="52FB680C"/>
    <w:rsid w:val="530971A6"/>
    <w:rsid w:val="53390EC5"/>
    <w:rsid w:val="535449BE"/>
    <w:rsid w:val="53924C20"/>
    <w:rsid w:val="53D035D9"/>
    <w:rsid w:val="541A5DD0"/>
    <w:rsid w:val="542A67B0"/>
    <w:rsid w:val="54501360"/>
    <w:rsid w:val="5454111A"/>
    <w:rsid w:val="549642A7"/>
    <w:rsid w:val="54CA5910"/>
    <w:rsid w:val="54CC712F"/>
    <w:rsid w:val="54D175A6"/>
    <w:rsid w:val="551C775D"/>
    <w:rsid w:val="554D3FD4"/>
    <w:rsid w:val="55AD06AF"/>
    <w:rsid w:val="55B67BA4"/>
    <w:rsid w:val="55DA1D55"/>
    <w:rsid w:val="55EF09CE"/>
    <w:rsid w:val="565D1DDC"/>
    <w:rsid w:val="56634F9C"/>
    <w:rsid w:val="56795184"/>
    <w:rsid w:val="56994E73"/>
    <w:rsid w:val="56EF61D7"/>
    <w:rsid w:val="56FB6623"/>
    <w:rsid w:val="57054CD6"/>
    <w:rsid w:val="570D3802"/>
    <w:rsid w:val="571665A4"/>
    <w:rsid w:val="575A2082"/>
    <w:rsid w:val="57790E97"/>
    <w:rsid w:val="580E7831"/>
    <w:rsid w:val="58280DA6"/>
    <w:rsid w:val="588178CE"/>
    <w:rsid w:val="58B65CFE"/>
    <w:rsid w:val="58BA799E"/>
    <w:rsid w:val="58C35628"/>
    <w:rsid w:val="58FB7AAC"/>
    <w:rsid w:val="5921491B"/>
    <w:rsid w:val="592656C8"/>
    <w:rsid w:val="5953688D"/>
    <w:rsid w:val="596D2135"/>
    <w:rsid w:val="596E06BD"/>
    <w:rsid w:val="59745532"/>
    <w:rsid w:val="599546F4"/>
    <w:rsid w:val="59D83923"/>
    <w:rsid w:val="59DD38B7"/>
    <w:rsid w:val="5A1018EA"/>
    <w:rsid w:val="5A124E61"/>
    <w:rsid w:val="5A175510"/>
    <w:rsid w:val="5A4E049F"/>
    <w:rsid w:val="5A7D584B"/>
    <w:rsid w:val="5AA44BD3"/>
    <w:rsid w:val="5AB06D86"/>
    <w:rsid w:val="5AB13E81"/>
    <w:rsid w:val="5ABB2BC9"/>
    <w:rsid w:val="5AE3728D"/>
    <w:rsid w:val="5B3B0B2A"/>
    <w:rsid w:val="5B3C16D9"/>
    <w:rsid w:val="5B792935"/>
    <w:rsid w:val="5B972937"/>
    <w:rsid w:val="5B99078F"/>
    <w:rsid w:val="5BD11967"/>
    <w:rsid w:val="5BF64864"/>
    <w:rsid w:val="5BFB2DB5"/>
    <w:rsid w:val="5C043425"/>
    <w:rsid w:val="5C0769FB"/>
    <w:rsid w:val="5C1E26FD"/>
    <w:rsid w:val="5C381321"/>
    <w:rsid w:val="5C4E7612"/>
    <w:rsid w:val="5C69465F"/>
    <w:rsid w:val="5C7602E3"/>
    <w:rsid w:val="5CA70254"/>
    <w:rsid w:val="5CAE5AA3"/>
    <w:rsid w:val="5CCA70E2"/>
    <w:rsid w:val="5CD60B8D"/>
    <w:rsid w:val="5CD853A9"/>
    <w:rsid w:val="5CE61F36"/>
    <w:rsid w:val="5CEF035F"/>
    <w:rsid w:val="5CF059A8"/>
    <w:rsid w:val="5CF35248"/>
    <w:rsid w:val="5CF96B33"/>
    <w:rsid w:val="5D0631CD"/>
    <w:rsid w:val="5D1A489F"/>
    <w:rsid w:val="5D1B143F"/>
    <w:rsid w:val="5D553791"/>
    <w:rsid w:val="5D5907AF"/>
    <w:rsid w:val="5D5C70E6"/>
    <w:rsid w:val="5D9A56C3"/>
    <w:rsid w:val="5DAD1747"/>
    <w:rsid w:val="5DB749FF"/>
    <w:rsid w:val="5E04069C"/>
    <w:rsid w:val="5E0B5A20"/>
    <w:rsid w:val="5E186674"/>
    <w:rsid w:val="5E333D0E"/>
    <w:rsid w:val="5E7233A7"/>
    <w:rsid w:val="5EA56311"/>
    <w:rsid w:val="5ECB1E34"/>
    <w:rsid w:val="5ED115B9"/>
    <w:rsid w:val="5F2A50D0"/>
    <w:rsid w:val="5F2C17F7"/>
    <w:rsid w:val="5F3007C2"/>
    <w:rsid w:val="5F396D54"/>
    <w:rsid w:val="5F4519DC"/>
    <w:rsid w:val="5F6E4126"/>
    <w:rsid w:val="5F96130C"/>
    <w:rsid w:val="5FEA0B84"/>
    <w:rsid w:val="60151EF8"/>
    <w:rsid w:val="6017300C"/>
    <w:rsid w:val="603F4830"/>
    <w:rsid w:val="604013F6"/>
    <w:rsid w:val="6048134D"/>
    <w:rsid w:val="60666108"/>
    <w:rsid w:val="60771830"/>
    <w:rsid w:val="60BA7188"/>
    <w:rsid w:val="60E935C6"/>
    <w:rsid w:val="60F17A14"/>
    <w:rsid w:val="61015153"/>
    <w:rsid w:val="6111378C"/>
    <w:rsid w:val="611A3DF8"/>
    <w:rsid w:val="611E1DBC"/>
    <w:rsid w:val="613F2026"/>
    <w:rsid w:val="61462A30"/>
    <w:rsid w:val="616A21F0"/>
    <w:rsid w:val="61741E3C"/>
    <w:rsid w:val="61A9359D"/>
    <w:rsid w:val="61BA4BB4"/>
    <w:rsid w:val="61EB4AEE"/>
    <w:rsid w:val="61ED522A"/>
    <w:rsid w:val="620E4B12"/>
    <w:rsid w:val="62486E6B"/>
    <w:rsid w:val="625A21F2"/>
    <w:rsid w:val="629D3852"/>
    <w:rsid w:val="62A16070"/>
    <w:rsid w:val="62BF00A6"/>
    <w:rsid w:val="62E30EB4"/>
    <w:rsid w:val="63416D0D"/>
    <w:rsid w:val="63431527"/>
    <w:rsid w:val="63442EB2"/>
    <w:rsid w:val="63716EC6"/>
    <w:rsid w:val="637B16AE"/>
    <w:rsid w:val="63E92F01"/>
    <w:rsid w:val="63EC4F58"/>
    <w:rsid w:val="63F075BA"/>
    <w:rsid w:val="640F0E9A"/>
    <w:rsid w:val="64202462"/>
    <w:rsid w:val="642F3009"/>
    <w:rsid w:val="64654FB0"/>
    <w:rsid w:val="647C1FC7"/>
    <w:rsid w:val="648844C8"/>
    <w:rsid w:val="64A25031"/>
    <w:rsid w:val="64D9111C"/>
    <w:rsid w:val="650310D3"/>
    <w:rsid w:val="65046244"/>
    <w:rsid w:val="65077AE2"/>
    <w:rsid w:val="651F79E8"/>
    <w:rsid w:val="65286214"/>
    <w:rsid w:val="65436ADD"/>
    <w:rsid w:val="657C16D7"/>
    <w:rsid w:val="65982E30"/>
    <w:rsid w:val="65A81846"/>
    <w:rsid w:val="65AF2689"/>
    <w:rsid w:val="65DA7EF3"/>
    <w:rsid w:val="65F23602"/>
    <w:rsid w:val="660B3602"/>
    <w:rsid w:val="6617568E"/>
    <w:rsid w:val="66546D57"/>
    <w:rsid w:val="66551D06"/>
    <w:rsid w:val="668D20E3"/>
    <w:rsid w:val="6695117A"/>
    <w:rsid w:val="669C003C"/>
    <w:rsid w:val="66A40E58"/>
    <w:rsid w:val="66B60C64"/>
    <w:rsid w:val="66D83984"/>
    <w:rsid w:val="66E11C72"/>
    <w:rsid w:val="66F96385"/>
    <w:rsid w:val="673030AD"/>
    <w:rsid w:val="673741C6"/>
    <w:rsid w:val="67660D4B"/>
    <w:rsid w:val="677D5E3A"/>
    <w:rsid w:val="679B37F4"/>
    <w:rsid w:val="67AB0BF9"/>
    <w:rsid w:val="67AC119B"/>
    <w:rsid w:val="67BC3613"/>
    <w:rsid w:val="67EA128C"/>
    <w:rsid w:val="67FC7EEF"/>
    <w:rsid w:val="682D7860"/>
    <w:rsid w:val="687251A6"/>
    <w:rsid w:val="68882CE8"/>
    <w:rsid w:val="68986511"/>
    <w:rsid w:val="68B43ADD"/>
    <w:rsid w:val="68C52D84"/>
    <w:rsid w:val="68F037B1"/>
    <w:rsid w:val="68FD1108"/>
    <w:rsid w:val="690776AE"/>
    <w:rsid w:val="693D0976"/>
    <w:rsid w:val="693E5A9D"/>
    <w:rsid w:val="69961989"/>
    <w:rsid w:val="69A3363E"/>
    <w:rsid w:val="69A86741"/>
    <w:rsid w:val="69E36648"/>
    <w:rsid w:val="69E55FFC"/>
    <w:rsid w:val="6A1A06E3"/>
    <w:rsid w:val="6A271DFC"/>
    <w:rsid w:val="6A606851"/>
    <w:rsid w:val="6A8227C7"/>
    <w:rsid w:val="6A825BDA"/>
    <w:rsid w:val="6AA25D2E"/>
    <w:rsid w:val="6AB10474"/>
    <w:rsid w:val="6ABF0F6D"/>
    <w:rsid w:val="6B2059EE"/>
    <w:rsid w:val="6B372FDA"/>
    <w:rsid w:val="6B6D6034"/>
    <w:rsid w:val="6B6F7287"/>
    <w:rsid w:val="6B7A6E08"/>
    <w:rsid w:val="6BAF2C82"/>
    <w:rsid w:val="6BBF3BE1"/>
    <w:rsid w:val="6BFF16DD"/>
    <w:rsid w:val="6C10333C"/>
    <w:rsid w:val="6C382410"/>
    <w:rsid w:val="6C3848BE"/>
    <w:rsid w:val="6C603795"/>
    <w:rsid w:val="6C6A5991"/>
    <w:rsid w:val="6C8163CC"/>
    <w:rsid w:val="6C853D03"/>
    <w:rsid w:val="6D035033"/>
    <w:rsid w:val="6D1D7AB2"/>
    <w:rsid w:val="6D5C14FC"/>
    <w:rsid w:val="6D742724"/>
    <w:rsid w:val="6D8421FF"/>
    <w:rsid w:val="6D8C0AF7"/>
    <w:rsid w:val="6DC67B92"/>
    <w:rsid w:val="6DCB13BD"/>
    <w:rsid w:val="6DCC3B9A"/>
    <w:rsid w:val="6E043B72"/>
    <w:rsid w:val="6E6C09B6"/>
    <w:rsid w:val="6E6D1E02"/>
    <w:rsid w:val="6E847097"/>
    <w:rsid w:val="6F294FBB"/>
    <w:rsid w:val="6F3211B5"/>
    <w:rsid w:val="6F4C7E7F"/>
    <w:rsid w:val="6F5046D1"/>
    <w:rsid w:val="6F5729AC"/>
    <w:rsid w:val="6F700D72"/>
    <w:rsid w:val="6F8E6338"/>
    <w:rsid w:val="6FB03E5B"/>
    <w:rsid w:val="6FDE3E2D"/>
    <w:rsid w:val="70111B9E"/>
    <w:rsid w:val="702357A3"/>
    <w:rsid w:val="70582CC0"/>
    <w:rsid w:val="705B3D88"/>
    <w:rsid w:val="70657DB3"/>
    <w:rsid w:val="70860455"/>
    <w:rsid w:val="70EE7DA8"/>
    <w:rsid w:val="711B569C"/>
    <w:rsid w:val="713E6EDA"/>
    <w:rsid w:val="716144FC"/>
    <w:rsid w:val="71671F67"/>
    <w:rsid w:val="719D16D7"/>
    <w:rsid w:val="72480DE8"/>
    <w:rsid w:val="729A01E8"/>
    <w:rsid w:val="72A10D0E"/>
    <w:rsid w:val="72A64FF4"/>
    <w:rsid w:val="72B03607"/>
    <w:rsid w:val="72BA6194"/>
    <w:rsid w:val="72BB5C32"/>
    <w:rsid w:val="72BD136F"/>
    <w:rsid w:val="72CC5EC7"/>
    <w:rsid w:val="72F96524"/>
    <w:rsid w:val="734C3556"/>
    <w:rsid w:val="7359722A"/>
    <w:rsid w:val="737232A9"/>
    <w:rsid w:val="737F0B84"/>
    <w:rsid w:val="73B672EF"/>
    <w:rsid w:val="7407476D"/>
    <w:rsid w:val="74541308"/>
    <w:rsid w:val="74715F54"/>
    <w:rsid w:val="74CB28DA"/>
    <w:rsid w:val="74D47301"/>
    <w:rsid w:val="74E02A4B"/>
    <w:rsid w:val="74E13391"/>
    <w:rsid w:val="74E85E71"/>
    <w:rsid w:val="75157FF9"/>
    <w:rsid w:val="759579EC"/>
    <w:rsid w:val="75D9184B"/>
    <w:rsid w:val="76333756"/>
    <w:rsid w:val="763862E0"/>
    <w:rsid w:val="76856AB9"/>
    <w:rsid w:val="76C61729"/>
    <w:rsid w:val="76DF5175"/>
    <w:rsid w:val="77173983"/>
    <w:rsid w:val="775C3CDE"/>
    <w:rsid w:val="7836450F"/>
    <w:rsid w:val="785A7513"/>
    <w:rsid w:val="78C22246"/>
    <w:rsid w:val="78DD0943"/>
    <w:rsid w:val="78F44CAB"/>
    <w:rsid w:val="78FA2B4F"/>
    <w:rsid w:val="791A3E30"/>
    <w:rsid w:val="796647AD"/>
    <w:rsid w:val="798B088A"/>
    <w:rsid w:val="79F012A8"/>
    <w:rsid w:val="79FF3335"/>
    <w:rsid w:val="7A0348C4"/>
    <w:rsid w:val="7A120583"/>
    <w:rsid w:val="7A51129D"/>
    <w:rsid w:val="7A606F5F"/>
    <w:rsid w:val="7A770E0E"/>
    <w:rsid w:val="7A7C34A3"/>
    <w:rsid w:val="7A8334EC"/>
    <w:rsid w:val="7A9877D3"/>
    <w:rsid w:val="7AC878BC"/>
    <w:rsid w:val="7B091961"/>
    <w:rsid w:val="7B3D3E06"/>
    <w:rsid w:val="7B555980"/>
    <w:rsid w:val="7B656EB9"/>
    <w:rsid w:val="7B9B36ED"/>
    <w:rsid w:val="7BB95C1A"/>
    <w:rsid w:val="7BBA1B21"/>
    <w:rsid w:val="7BE063FB"/>
    <w:rsid w:val="7C7A5E96"/>
    <w:rsid w:val="7CEC50AB"/>
    <w:rsid w:val="7D052701"/>
    <w:rsid w:val="7D151173"/>
    <w:rsid w:val="7D21425A"/>
    <w:rsid w:val="7D4A2D31"/>
    <w:rsid w:val="7D723A45"/>
    <w:rsid w:val="7DBE4E21"/>
    <w:rsid w:val="7DEA19F0"/>
    <w:rsid w:val="7E3754A7"/>
    <w:rsid w:val="7E3F3155"/>
    <w:rsid w:val="7E6C1FB6"/>
    <w:rsid w:val="7E9858D4"/>
    <w:rsid w:val="7E9C6722"/>
    <w:rsid w:val="7ECD531C"/>
    <w:rsid w:val="7EDF5652"/>
    <w:rsid w:val="7EF05BA0"/>
    <w:rsid w:val="7F1D404D"/>
    <w:rsid w:val="7F3845EA"/>
    <w:rsid w:val="7F437A83"/>
    <w:rsid w:val="7FC405A8"/>
    <w:rsid w:val="7FCB65B3"/>
    <w:rsid w:val="7FF163FE"/>
    <w:rsid w:val="7FF85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semiHidden="0" w:qFormat="1"/>
    <w:lsdException w:name="footer" w:semiHidden="0" w:qFormat="1"/>
    <w:lsdException w:name="caption" w:uiPriority="35" w:qFormat="1"/>
    <w:lsdException w:name="table of figures" w:semiHidden="0" w:uiPriority="0" w:unhideWhenUsed="0" w:qFormat="1"/>
    <w:lsdException w:name="footnote reference" w:uiPriority="0" w:unhideWhenUsed="0" w:qFormat="1"/>
    <w:lsdException w:name="annotation reference"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DB"/>
    <w:pPr>
      <w:widowControl w:val="0"/>
      <w:jc w:val="both"/>
    </w:pPr>
    <w:rPr>
      <w:rFonts w:asciiTheme="minorHAnsi" w:eastAsiaTheme="minorEastAsia" w:hAnsiTheme="minorHAnsi" w:cstheme="minorBidi"/>
      <w:kern w:val="2"/>
      <w:sz w:val="21"/>
      <w:szCs w:val="22"/>
    </w:rPr>
  </w:style>
  <w:style w:type="paragraph" w:styleId="1">
    <w:name w:val="heading 1"/>
    <w:basedOn w:val="a0"/>
    <w:next w:val="a"/>
    <w:link w:val="1Char"/>
    <w:uiPriority w:val="9"/>
    <w:qFormat/>
    <w:rsid w:val="005A1ADB"/>
    <w:pPr>
      <w:keepNext/>
      <w:keepLines/>
      <w:spacing w:before="340" w:after="330" w:line="578" w:lineRule="auto"/>
      <w:outlineLvl w:val="0"/>
    </w:pPr>
    <w:rPr>
      <w:kern w:val="44"/>
      <w:sz w:val="44"/>
      <w:szCs w:val="44"/>
    </w:rPr>
  </w:style>
  <w:style w:type="paragraph" w:styleId="2">
    <w:name w:val="heading 2"/>
    <w:basedOn w:val="a"/>
    <w:next w:val="a"/>
    <w:link w:val="2Char"/>
    <w:uiPriority w:val="9"/>
    <w:unhideWhenUsed/>
    <w:qFormat/>
    <w:rsid w:val="005A1A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A1AD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A1AD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uiPriority w:val="9"/>
    <w:unhideWhenUsed/>
    <w:qFormat/>
    <w:rsid w:val="005A1ADB"/>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5A1ADB"/>
    <w:pPr>
      <w:spacing w:line="360" w:lineRule="auto"/>
      <w:jc w:val="center"/>
    </w:pPr>
    <w:rPr>
      <w:b/>
      <w:bCs/>
      <w:sz w:val="36"/>
    </w:rPr>
  </w:style>
  <w:style w:type="paragraph" w:styleId="a4">
    <w:name w:val="caption"/>
    <w:basedOn w:val="a"/>
    <w:next w:val="a"/>
    <w:uiPriority w:val="35"/>
    <w:semiHidden/>
    <w:unhideWhenUsed/>
    <w:qFormat/>
    <w:rsid w:val="005A1ADB"/>
    <w:rPr>
      <w:rFonts w:ascii="Arial" w:eastAsia="黑体" w:hAnsi="Arial"/>
      <w:sz w:val="20"/>
    </w:rPr>
  </w:style>
  <w:style w:type="paragraph" w:styleId="a5">
    <w:name w:val="annotation text"/>
    <w:basedOn w:val="a"/>
    <w:link w:val="Char"/>
    <w:uiPriority w:val="99"/>
    <w:semiHidden/>
    <w:unhideWhenUsed/>
    <w:qFormat/>
    <w:rsid w:val="005A1ADB"/>
    <w:pPr>
      <w:jc w:val="left"/>
    </w:pPr>
  </w:style>
  <w:style w:type="paragraph" w:styleId="a6">
    <w:name w:val="Body Text"/>
    <w:basedOn w:val="a"/>
    <w:link w:val="Char0"/>
    <w:uiPriority w:val="99"/>
    <w:unhideWhenUsed/>
    <w:qFormat/>
    <w:rsid w:val="005A1ADB"/>
    <w:pPr>
      <w:spacing w:after="120"/>
    </w:pPr>
  </w:style>
  <w:style w:type="paragraph" w:styleId="30">
    <w:name w:val="toc 3"/>
    <w:basedOn w:val="a"/>
    <w:next w:val="a"/>
    <w:uiPriority w:val="39"/>
    <w:unhideWhenUsed/>
    <w:qFormat/>
    <w:rsid w:val="005A1ADB"/>
    <w:pPr>
      <w:widowControl/>
      <w:spacing w:after="100" w:line="259" w:lineRule="auto"/>
      <w:ind w:left="440"/>
      <w:jc w:val="left"/>
    </w:pPr>
    <w:rPr>
      <w:rFonts w:cs="Times New Roman"/>
      <w:kern w:val="0"/>
      <w:sz w:val="22"/>
    </w:rPr>
  </w:style>
  <w:style w:type="paragraph" w:styleId="a7">
    <w:name w:val="Plain Text"/>
    <w:basedOn w:val="a"/>
    <w:link w:val="Char1"/>
    <w:qFormat/>
    <w:rsid w:val="005A1ADB"/>
    <w:rPr>
      <w:rFonts w:ascii="宋体" w:eastAsia="宋体" w:hAnsi="Courier New" w:cs="Courier New"/>
      <w:szCs w:val="21"/>
    </w:rPr>
  </w:style>
  <w:style w:type="paragraph" w:styleId="a8">
    <w:name w:val="Date"/>
    <w:basedOn w:val="a"/>
    <w:next w:val="a"/>
    <w:link w:val="Char2"/>
    <w:uiPriority w:val="99"/>
    <w:semiHidden/>
    <w:unhideWhenUsed/>
    <w:qFormat/>
    <w:rsid w:val="005A1ADB"/>
    <w:pPr>
      <w:ind w:leftChars="2500" w:left="100"/>
    </w:pPr>
  </w:style>
  <w:style w:type="paragraph" w:styleId="20">
    <w:name w:val="Body Text Indent 2"/>
    <w:basedOn w:val="a"/>
    <w:next w:val="a"/>
    <w:link w:val="2Char0"/>
    <w:qFormat/>
    <w:rsid w:val="005A1ADB"/>
    <w:pPr>
      <w:spacing w:after="120" w:line="480" w:lineRule="auto"/>
      <w:ind w:leftChars="200" w:left="420"/>
    </w:pPr>
  </w:style>
  <w:style w:type="paragraph" w:styleId="a9">
    <w:name w:val="Balloon Text"/>
    <w:basedOn w:val="a"/>
    <w:link w:val="Char3"/>
    <w:uiPriority w:val="99"/>
    <w:semiHidden/>
    <w:unhideWhenUsed/>
    <w:qFormat/>
    <w:rsid w:val="005A1ADB"/>
    <w:rPr>
      <w:sz w:val="18"/>
      <w:szCs w:val="18"/>
    </w:rPr>
  </w:style>
  <w:style w:type="paragraph" w:styleId="aa">
    <w:name w:val="footer"/>
    <w:basedOn w:val="a"/>
    <w:link w:val="Char4"/>
    <w:uiPriority w:val="99"/>
    <w:unhideWhenUsed/>
    <w:qFormat/>
    <w:rsid w:val="005A1AD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5A1A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A1ADB"/>
    <w:pPr>
      <w:widowControl/>
      <w:spacing w:after="100" w:line="259" w:lineRule="auto"/>
      <w:jc w:val="left"/>
    </w:pPr>
    <w:rPr>
      <w:rFonts w:cs="Times New Roman"/>
      <w:kern w:val="0"/>
      <w:sz w:val="22"/>
    </w:rPr>
  </w:style>
  <w:style w:type="paragraph" w:styleId="ac">
    <w:name w:val="footnote text"/>
    <w:basedOn w:val="a"/>
    <w:link w:val="Char6"/>
    <w:semiHidden/>
    <w:qFormat/>
    <w:rsid w:val="005A1ADB"/>
    <w:pPr>
      <w:snapToGrid w:val="0"/>
      <w:spacing w:beforeLines="50" w:line="300" w:lineRule="auto"/>
      <w:ind w:firstLineChars="200" w:firstLine="480"/>
      <w:jc w:val="left"/>
    </w:pPr>
    <w:rPr>
      <w:rFonts w:ascii="宋体" w:eastAsia="宋体" w:hAnsi="宋体" w:cs="Times New Roman"/>
      <w:sz w:val="18"/>
      <w:szCs w:val="18"/>
    </w:rPr>
  </w:style>
  <w:style w:type="paragraph" w:styleId="ad">
    <w:name w:val="table of figures"/>
    <w:basedOn w:val="a"/>
    <w:next w:val="a"/>
    <w:qFormat/>
    <w:rsid w:val="005A1ADB"/>
    <w:pPr>
      <w:spacing w:line="360" w:lineRule="auto"/>
      <w:ind w:leftChars="200" w:left="200" w:hangingChars="200" w:hanging="200"/>
    </w:pPr>
    <w:rPr>
      <w:rFonts w:ascii="Calibri" w:eastAsia="宋体" w:hAnsi="Calibri" w:cs="Times New Roman"/>
      <w:sz w:val="30"/>
    </w:rPr>
  </w:style>
  <w:style w:type="paragraph" w:styleId="21">
    <w:name w:val="toc 2"/>
    <w:basedOn w:val="a"/>
    <w:next w:val="a"/>
    <w:uiPriority w:val="39"/>
    <w:unhideWhenUsed/>
    <w:qFormat/>
    <w:rsid w:val="005A1ADB"/>
    <w:pPr>
      <w:widowControl/>
      <w:spacing w:after="100" w:line="259" w:lineRule="auto"/>
      <w:ind w:left="220"/>
      <w:jc w:val="left"/>
    </w:pPr>
    <w:rPr>
      <w:rFonts w:cs="Times New Roman"/>
      <w:kern w:val="0"/>
      <w:sz w:val="22"/>
    </w:rPr>
  </w:style>
  <w:style w:type="paragraph" w:styleId="ae">
    <w:name w:val="Normal (Web)"/>
    <w:qFormat/>
    <w:rsid w:val="005A1ADB"/>
    <w:pPr>
      <w:widowControl w:val="0"/>
      <w:spacing w:beforeAutospacing="1" w:afterAutospacing="1"/>
    </w:pPr>
    <w:rPr>
      <w:rFonts w:asciiTheme="minorHAnsi" w:eastAsiaTheme="minorEastAsia" w:hAnsiTheme="minorHAnsi"/>
      <w:sz w:val="24"/>
      <w:szCs w:val="22"/>
    </w:rPr>
  </w:style>
  <w:style w:type="character" w:styleId="af">
    <w:name w:val="Strong"/>
    <w:qFormat/>
    <w:rsid w:val="005A1ADB"/>
    <w:rPr>
      <w:rFonts w:ascii="Calibri" w:eastAsia="宋体" w:hAnsi="Calibri" w:cs="Times New Roman"/>
      <w:b/>
      <w:bCs/>
    </w:rPr>
  </w:style>
  <w:style w:type="character" w:styleId="af0">
    <w:name w:val="Hyperlink"/>
    <w:basedOn w:val="a1"/>
    <w:uiPriority w:val="99"/>
    <w:unhideWhenUsed/>
    <w:qFormat/>
    <w:rsid w:val="005A1ADB"/>
    <w:rPr>
      <w:color w:val="0563C1" w:themeColor="hyperlink"/>
      <w:u w:val="single"/>
    </w:rPr>
  </w:style>
  <w:style w:type="character" w:styleId="af1">
    <w:name w:val="annotation reference"/>
    <w:basedOn w:val="a1"/>
    <w:qFormat/>
    <w:rsid w:val="005A1ADB"/>
    <w:rPr>
      <w:sz w:val="21"/>
      <w:szCs w:val="21"/>
    </w:rPr>
  </w:style>
  <w:style w:type="character" w:styleId="af2">
    <w:name w:val="footnote reference"/>
    <w:semiHidden/>
    <w:qFormat/>
    <w:rsid w:val="005A1ADB"/>
    <w:rPr>
      <w:vertAlign w:val="superscript"/>
    </w:rPr>
  </w:style>
  <w:style w:type="character" w:customStyle="1" w:styleId="Char2">
    <w:name w:val="日期 Char"/>
    <w:basedOn w:val="a1"/>
    <w:link w:val="a8"/>
    <w:uiPriority w:val="99"/>
    <w:semiHidden/>
    <w:qFormat/>
    <w:rsid w:val="005A1ADB"/>
  </w:style>
  <w:style w:type="character" w:customStyle="1" w:styleId="2Char">
    <w:name w:val="标题 2 Char"/>
    <w:basedOn w:val="a1"/>
    <w:link w:val="2"/>
    <w:uiPriority w:val="9"/>
    <w:qFormat/>
    <w:rsid w:val="005A1ADB"/>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5A1ADB"/>
    <w:rPr>
      <w:b/>
      <w:bCs/>
      <w:sz w:val="32"/>
      <w:szCs w:val="32"/>
    </w:rPr>
  </w:style>
  <w:style w:type="paragraph" w:customStyle="1" w:styleId="af3">
    <w:name w:val="报告书正文"/>
    <w:basedOn w:val="a"/>
    <w:link w:val="CharChar"/>
    <w:qFormat/>
    <w:rsid w:val="005A1ADB"/>
    <w:pPr>
      <w:spacing w:line="360" w:lineRule="auto"/>
      <w:ind w:firstLineChars="200" w:firstLine="560"/>
    </w:pPr>
    <w:rPr>
      <w:rFonts w:ascii="Times New Roman" w:eastAsia="宋体" w:hAnsi="Times New Roman" w:cs="Times New Roman"/>
      <w:snapToGrid w:val="0"/>
      <w:kern w:val="0"/>
      <w:sz w:val="24"/>
      <w:szCs w:val="28"/>
    </w:rPr>
  </w:style>
  <w:style w:type="character" w:customStyle="1" w:styleId="CharChar">
    <w:name w:val="报告书正文 Char Char"/>
    <w:link w:val="af3"/>
    <w:qFormat/>
    <w:rsid w:val="005A1ADB"/>
    <w:rPr>
      <w:rFonts w:ascii="Times New Roman" w:eastAsia="宋体" w:hAnsi="Times New Roman" w:cs="Times New Roman"/>
      <w:snapToGrid w:val="0"/>
      <w:kern w:val="0"/>
      <w:sz w:val="24"/>
      <w:szCs w:val="28"/>
    </w:rPr>
  </w:style>
  <w:style w:type="character" w:customStyle="1" w:styleId="4Char">
    <w:name w:val="标题 4 Char"/>
    <w:basedOn w:val="a1"/>
    <w:link w:val="4"/>
    <w:uiPriority w:val="9"/>
    <w:qFormat/>
    <w:rsid w:val="005A1ADB"/>
    <w:rPr>
      <w:rFonts w:asciiTheme="majorHAnsi" w:eastAsiaTheme="majorEastAsia" w:hAnsiTheme="majorHAnsi" w:cstheme="majorBidi"/>
      <w:b/>
      <w:bCs/>
      <w:sz w:val="28"/>
      <w:szCs w:val="28"/>
    </w:rPr>
  </w:style>
  <w:style w:type="character" w:customStyle="1" w:styleId="Char5">
    <w:name w:val="页眉 Char"/>
    <w:basedOn w:val="a1"/>
    <w:link w:val="ab"/>
    <w:uiPriority w:val="99"/>
    <w:qFormat/>
    <w:rsid w:val="005A1ADB"/>
    <w:rPr>
      <w:sz w:val="18"/>
      <w:szCs w:val="18"/>
    </w:rPr>
  </w:style>
  <w:style w:type="character" w:customStyle="1" w:styleId="Char4">
    <w:name w:val="页脚 Char"/>
    <w:basedOn w:val="a1"/>
    <w:link w:val="aa"/>
    <w:uiPriority w:val="99"/>
    <w:qFormat/>
    <w:rsid w:val="005A1ADB"/>
    <w:rPr>
      <w:sz w:val="18"/>
      <w:szCs w:val="18"/>
    </w:rPr>
  </w:style>
  <w:style w:type="character" w:customStyle="1" w:styleId="1Char">
    <w:name w:val="标题 1 Char"/>
    <w:basedOn w:val="a1"/>
    <w:link w:val="1"/>
    <w:uiPriority w:val="9"/>
    <w:qFormat/>
    <w:rsid w:val="005A1ADB"/>
    <w:rPr>
      <w:b/>
      <w:bCs/>
      <w:kern w:val="44"/>
      <w:sz w:val="44"/>
      <w:szCs w:val="44"/>
    </w:rPr>
  </w:style>
  <w:style w:type="paragraph" w:customStyle="1" w:styleId="TOC1">
    <w:name w:val="TOC 标题1"/>
    <w:basedOn w:val="1"/>
    <w:next w:val="a"/>
    <w:uiPriority w:val="39"/>
    <w:unhideWhenUsed/>
    <w:qFormat/>
    <w:rsid w:val="005A1AD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6">
    <w:name w:val="脚注文本 Char"/>
    <w:basedOn w:val="a1"/>
    <w:link w:val="ac"/>
    <w:semiHidden/>
    <w:qFormat/>
    <w:rsid w:val="005A1ADB"/>
    <w:rPr>
      <w:rFonts w:ascii="宋体" w:eastAsia="宋体" w:hAnsi="宋体" w:cs="Times New Roman"/>
      <w:sz w:val="18"/>
      <w:szCs w:val="18"/>
    </w:rPr>
  </w:style>
  <w:style w:type="paragraph" w:customStyle="1" w:styleId="11">
    <w:name w:val="列出段落1"/>
    <w:basedOn w:val="a"/>
    <w:link w:val="Char7"/>
    <w:uiPriority w:val="99"/>
    <w:qFormat/>
    <w:rsid w:val="005A1ADB"/>
    <w:pPr>
      <w:ind w:firstLineChars="200" w:firstLine="420"/>
    </w:pPr>
    <w:rPr>
      <w:rFonts w:ascii="Calibri" w:eastAsia="宋体" w:hAnsi="Calibri" w:cs="宋体"/>
      <w:szCs w:val="24"/>
    </w:rPr>
  </w:style>
  <w:style w:type="character" w:customStyle="1" w:styleId="Char7">
    <w:name w:val="列出段落 Char"/>
    <w:basedOn w:val="a1"/>
    <w:link w:val="11"/>
    <w:uiPriority w:val="99"/>
    <w:qFormat/>
    <w:rsid w:val="005A1ADB"/>
    <w:rPr>
      <w:rFonts w:ascii="Calibri" w:eastAsia="宋体" w:hAnsi="Calibri" w:cs="宋体"/>
      <w:szCs w:val="24"/>
    </w:rPr>
  </w:style>
  <w:style w:type="character" w:customStyle="1" w:styleId="Char1">
    <w:name w:val="纯文本 Char1"/>
    <w:link w:val="a7"/>
    <w:qFormat/>
    <w:rsid w:val="005A1ADB"/>
    <w:rPr>
      <w:rFonts w:ascii="宋体" w:eastAsia="宋体" w:hAnsi="Courier New" w:cs="Courier New"/>
      <w:szCs w:val="21"/>
    </w:rPr>
  </w:style>
  <w:style w:type="paragraph" w:customStyle="1" w:styleId="Char8">
    <w:name w:val="Char"/>
    <w:basedOn w:val="a"/>
    <w:qFormat/>
    <w:rsid w:val="005A1ADB"/>
    <w:rPr>
      <w:rFonts w:ascii="Times New Roman" w:eastAsia="宋体" w:hAnsi="Times New Roman" w:cs="Times New Roman"/>
      <w:szCs w:val="24"/>
    </w:rPr>
  </w:style>
  <w:style w:type="character" w:customStyle="1" w:styleId="Char9">
    <w:name w:val="纯文本 Char"/>
    <w:basedOn w:val="a1"/>
    <w:uiPriority w:val="99"/>
    <w:semiHidden/>
    <w:qFormat/>
    <w:rsid w:val="005A1ADB"/>
    <w:rPr>
      <w:rFonts w:ascii="宋体" w:eastAsia="宋体" w:hAnsi="Courier New" w:cs="Courier New"/>
      <w:szCs w:val="21"/>
    </w:rPr>
  </w:style>
  <w:style w:type="character" w:customStyle="1" w:styleId="2Char0">
    <w:name w:val="正文文本缩进 2 Char"/>
    <w:basedOn w:val="a1"/>
    <w:link w:val="20"/>
    <w:qFormat/>
    <w:rsid w:val="005A1ADB"/>
  </w:style>
  <w:style w:type="character" w:customStyle="1" w:styleId="font11">
    <w:name w:val="font11"/>
    <w:basedOn w:val="a1"/>
    <w:qFormat/>
    <w:rsid w:val="005A1ADB"/>
    <w:rPr>
      <w:rFonts w:ascii="Times New Roman" w:hAnsi="Times New Roman" w:cs="Times New Roman" w:hint="default"/>
      <w:color w:val="333333"/>
      <w:sz w:val="22"/>
      <w:szCs w:val="22"/>
      <w:u w:val="none"/>
    </w:rPr>
  </w:style>
  <w:style w:type="character" w:customStyle="1" w:styleId="font01">
    <w:name w:val="font01"/>
    <w:basedOn w:val="a1"/>
    <w:qFormat/>
    <w:rsid w:val="005A1ADB"/>
    <w:rPr>
      <w:rFonts w:ascii="仿宋_GB2312" w:eastAsia="仿宋_GB2312" w:cs="仿宋_GB2312"/>
      <w:color w:val="333333"/>
      <w:sz w:val="22"/>
      <w:szCs w:val="22"/>
      <w:u w:val="none"/>
    </w:rPr>
  </w:style>
  <w:style w:type="character" w:customStyle="1" w:styleId="font21">
    <w:name w:val="font21"/>
    <w:basedOn w:val="a1"/>
    <w:qFormat/>
    <w:rsid w:val="005A1ADB"/>
    <w:rPr>
      <w:rFonts w:ascii="Times New Roman" w:hAnsi="Times New Roman" w:cs="Times New Roman" w:hint="default"/>
      <w:color w:val="333333"/>
      <w:sz w:val="22"/>
      <w:szCs w:val="22"/>
      <w:u w:val="none"/>
    </w:rPr>
  </w:style>
  <w:style w:type="character" w:customStyle="1" w:styleId="font31">
    <w:name w:val="font31"/>
    <w:basedOn w:val="a1"/>
    <w:qFormat/>
    <w:rsid w:val="005A1ADB"/>
    <w:rPr>
      <w:rFonts w:ascii="Times New Roman" w:hAnsi="Times New Roman" w:cs="Times New Roman" w:hint="default"/>
      <w:color w:val="333333"/>
      <w:sz w:val="22"/>
      <w:szCs w:val="22"/>
      <w:u w:val="none"/>
    </w:rPr>
  </w:style>
  <w:style w:type="paragraph" w:customStyle="1" w:styleId="font9">
    <w:name w:val="font9"/>
    <w:basedOn w:val="a"/>
    <w:qFormat/>
    <w:rsid w:val="005A1ADB"/>
    <w:pPr>
      <w:widowControl/>
      <w:spacing w:before="100" w:beforeAutospacing="1" w:after="100" w:afterAutospacing="1"/>
      <w:jc w:val="left"/>
    </w:pPr>
    <w:rPr>
      <w:rFonts w:ascii="仿宋" w:eastAsia="宋体" w:hAnsi="仿宋" w:cs="宋体"/>
      <w:kern w:val="0"/>
      <w:sz w:val="22"/>
    </w:rPr>
  </w:style>
  <w:style w:type="character" w:customStyle="1" w:styleId="Char0">
    <w:name w:val="正文文本 Char"/>
    <w:basedOn w:val="a1"/>
    <w:link w:val="a6"/>
    <w:uiPriority w:val="99"/>
    <w:semiHidden/>
    <w:qFormat/>
    <w:rsid w:val="005A1ADB"/>
  </w:style>
  <w:style w:type="character" w:customStyle="1" w:styleId="Char">
    <w:name w:val="批注文字 Char"/>
    <w:basedOn w:val="a1"/>
    <w:link w:val="a5"/>
    <w:uiPriority w:val="99"/>
    <w:semiHidden/>
    <w:qFormat/>
    <w:rsid w:val="005A1ADB"/>
  </w:style>
  <w:style w:type="character" w:customStyle="1" w:styleId="fontstyle01">
    <w:name w:val="fontstyle01"/>
    <w:basedOn w:val="a1"/>
    <w:qFormat/>
    <w:rsid w:val="005A1ADB"/>
    <w:rPr>
      <w:rFonts w:ascii="MicrosoftYaHei" w:eastAsia="MicrosoftYaHei" w:hAnsi="MicrosoftYaHei" w:cs="MicrosoftYaHei"/>
      <w:color w:val="000000"/>
      <w:sz w:val="32"/>
      <w:szCs w:val="32"/>
    </w:rPr>
  </w:style>
  <w:style w:type="character" w:customStyle="1" w:styleId="fontstyle11">
    <w:name w:val="fontstyle11"/>
    <w:basedOn w:val="a1"/>
    <w:qFormat/>
    <w:rsid w:val="005A1ADB"/>
    <w:rPr>
      <w:rFonts w:ascii="ArialMT" w:eastAsia="ArialMT" w:hAnsi="ArialMT" w:cs="ArialMT"/>
      <w:color w:val="000000"/>
      <w:sz w:val="32"/>
      <w:szCs w:val="32"/>
    </w:rPr>
  </w:style>
  <w:style w:type="paragraph" w:customStyle="1" w:styleId="TOC11">
    <w:name w:val="TOC 标题11"/>
    <w:basedOn w:val="1"/>
    <w:next w:val="a"/>
    <w:uiPriority w:val="39"/>
    <w:unhideWhenUsed/>
    <w:qFormat/>
    <w:rsid w:val="005A1AD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font51">
    <w:name w:val="font51"/>
    <w:basedOn w:val="a1"/>
    <w:qFormat/>
    <w:rsid w:val="005A1ADB"/>
    <w:rPr>
      <w:rFonts w:ascii="宋体" w:eastAsia="宋体" w:hAnsi="宋体" w:cs="宋体" w:hint="eastAsia"/>
      <w:b/>
      <w:bCs/>
      <w:color w:val="FF0000"/>
      <w:sz w:val="24"/>
      <w:szCs w:val="24"/>
      <w:u w:val="none"/>
    </w:rPr>
  </w:style>
  <w:style w:type="character" w:customStyle="1" w:styleId="font61">
    <w:name w:val="font61"/>
    <w:basedOn w:val="a1"/>
    <w:qFormat/>
    <w:rsid w:val="005A1ADB"/>
    <w:rPr>
      <w:rFonts w:ascii="宋体" w:eastAsia="宋体" w:hAnsi="宋体" w:cs="宋体" w:hint="eastAsia"/>
      <w:color w:val="FF0000"/>
      <w:sz w:val="24"/>
      <w:szCs w:val="24"/>
      <w:u w:val="none"/>
    </w:rPr>
  </w:style>
  <w:style w:type="table" w:customStyle="1" w:styleId="12">
    <w:name w:val="网格型1"/>
    <w:basedOn w:val="a2"/>
    <w:uiPriority w:val="39"/>
    <w:qFormat/>
    <w:rsid w:val="005A1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框文本 Char"/>
    <w:basedOn w:val="a1"/>
    <w:link w:val="a9"/>
    <w:uiPriority w:val="99"/>
    <w:semiHidden/>
    <w:qFormat/>
    <w:rsid w:val="005A1ADB"/>
    <w:rPr>
      <w:sz w:val="18"/>
      <w:szCs w:val="18"/>
    </w:rPr>
  </w:style>
  <w:style w:type="character" w:customStyle="1" w:styleId="font171">
    <w:name w:val="font171"/>
    <w:basedOn w:val="a1"/>
    <w:qFormat/>
    <w:rsid w:val="005A1ADB"/>
    <w:rPr>
      <w:rFonts w:ascii="仿宋" w:eastAsia="仿宋" w:hAnsi="仿宋" w:cs="仿宋" w:hint="eastAsia"/>
      <w:color w:val="000000"/>
      <w:sz w:val="30"/>
      <w:szCs w:val="30"/>
      <w:u w:val="none"/>
      <w:vertAlign w:val="superscript"/>
    </w:rPr>
  </w:style>
  <w:style w:type="paragraph" w:customStyle="1" w:styleId="13">
    <w:name w:val="修订1"/>
    <w:hidden/>
    <w:uiPriority w:val="99"/>
    <w:semiHidden/>
    <w:qFormat/>
    <w:rsid w:val="005A1ADB"/>
    <w:rPr>
      <w:rFonts w:asciiTheme="minorHAnsi" w:eastAsiaTheme="minorEastAsia" w:hAnsiTheme="minorHAnsi" w:cstheme="minorBidi"/>
      <w:kern w:val="2"/>
      <w:sz w:val="21"/>
      <w:szCs w:val="22"/>
    </w:rPr>
  </w:style>
  <w:style w:type="paragraph" w:customStyle="1" w:styleId="22">
    <w:name w:val="修订2"/>
    <w:hidden/>
    <w:uiPriority w:val="99"/>
    <w:semiHidden/>
    <w:qFormat/>
    <w:rsid w:val="005A1ADB"/>
    <w:rPr>
      <w:rFonts w:asciiTheme="minorHAnsi" w:eastAsiaTheme="minorEastAsia" w:hAnsiTheme="minorHAnsi" w:cstheme="minorBidi"/>
      <w:kern w:val="2"/>
      <w:sz w:val="21"/>
      <w:szCs w:val="22"/>
    </w:rPr>
  </w:style>
  <w:style w:type="paragraph" w:customStyle="1" w:styleId="31">
    <w:name w:val="修订3"/>
    <w:hidden/>
    <w:uiPriority w:val="99"/>
    <w:semiHidden/>
    <w:qFormat/>
    <w:rsid w:val="005A1ADB"/>
    <w:rPr>
      <w:rFonts w:asciiTheme="minorHAnsi" w:eastAsiaTheme="minorEastAsia" w:hAnsiTheme="minorHAnsi" w:cstheme="minorBidi"/>
      <w:kern w:val="2"/>
      <w:sz w:val="21"/>
      <w:szCs w:val="22"/>
    </w:rPr>
  </w:style>
  <w:style w:type="paragraph" w:customStyle="1" w:styleId="40">
    <w:name w:val="修订4"/>
    <w:hidden/>
    <w:uiPriority w:val="99"/>
    <w:semiHidden/>
    <w:qFormat/>
    <w:rsid w:val="005A1ADB"/>
    <w:rPr>
      <w:rFonts w:asciiTheme="minorHAnsi" w:eastAsiaTheme="minorEastAsia" w:hAnsiTheme="minorHAnsi" w:cstheme="minorBidi"/>
      <w:kern w:val="2"/>
      <w:sz w:val="21"/>
      <w:szCs w:val="22"/>
    </w:rPr>
  </w:style>
  <w:style w:type="paragraph" w:customStyle="1" w:styleId="50">
    <w:name w:val="修订5"/>
    <w:hidden/>
    <w:uiPriority w:val="99"/>
    <w:semiHidden/>
    <w:qFormat/>
    <w:rsid w:val="005A1ADB"/>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G:\2022\07&#26080;&#24223;&#22478;&#24066;&#24314;&#35774;\&#26080;&#24223;&#22478;&#24066;0906jl.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G:\2022\07&#26080;&#24223;&#22478;&#24066;&#24314;&#35774;\&#26080;&#24223;&#22478;&#24066;0705jl.xlsx" TargetMode="External"/><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1" Type="http://schemas.openxmlformats.org/officeDocument/2006/relationships/oleObject" Target="file:///G:\2022\07&#26080;&#24223;&#22478;&#24066;&#24314;&#35774;\&#26080;&#24223;&#22478;&#24066;0704jl.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G:\2022\07&#26080;&#24223;&#22478;&#24066;&#24314;&#35774;\&#26080;&#24223;&#22478;&#24066;0704jl.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G:\2022\07&#26080;&#24223;&#22478;&#24066;&#24314;&#35774;\&#26080;&#24223;&#22478;&#24066;0704jl.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G:\2022\07&#26080;&#24223;&#22478;&#24066;&#24314;&#35774;\&#26080;&#24223;&#22478;&#24066;0715jl.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G:\2022\07&#26080;&#24223;&#22478;&#24066;&#24314;&#35774;\&#26080;&#24223;&#22478;&#24066;0715jl.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G:\2022\07&#26080;&#24223;&#22478;&#24066;&#24314;&#35774;\&#26080;&#24223;&#22478;&#24066;0704jl.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G:\2022\07&#26080;&#24223;&#22478;&#24066;&#24314;&#35774;\&#26080;&#24223;&#22478;&#24066;0704jl.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1" Type="http://schemas.openxmlformats.org/officeDocument/2006/relationships/oleObject" Target="file:///G:\2022\07&#26080;&#24223;&#22478;&#24066;&#24314;&#35774;\&#26080;&#24223;&#22478;&#24066;0906j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view3D>
      <c:rotX val="30"/>
      <c:depthPercent val="100"/>
      <c:perspective val="30"/>
    </c:view3D>
    <c:floor>
      <c:spPr>
        <a:noFill/>
        <a:effectLst/>
      </c:spPr>
    </c:floor>
    <c:sideWall>
      <c:spPr>
        <a:noFill/>
        <a:effectLst/>
      </c:spPr>
    </c:sideWall>
    <c:backWall>
      <c:spPr>
        <a:noFill/>
        <a:effectLst/>
      </c:spPr>
    </c:backWall>
    <c:plotArea>
      <c:layout>
        <c:manualLayout>
          <c:layoutTarget val="inner"/>
          <c:xMode val="edge"/>
          <c:yMode val="edge"/>
          <c:x val="0.14660558100791304"/>
          <c:y val="0.20138888888888901"/>
          <c:w val="0.78495071497986901"/>
          <c:h val="0.74467592592592602"/>
        </c:manualLayout>
      </c:layout>
      <c:pie3DChart>
        <c:varyColors val="1"/>
        <c:ser>
          <c:idx val="0"/>
          <c:order val="0"/>
          <c:spPr>
            <a:scene3d>
              <a:camera prst="orthographicFront"/>
              <a:lightRig rig="threePt" dir="t"/>
            </a:scene3d>
            <a:sp3d contourW="25400"/>
          </c:spPr>
          <c:dPt>
            <c:idx val="0"/>
            <c:spPr>
              <a:solidFill>
                <a:srgbClr val="5B9BD5"/>
              </a:solidFill>
              <a:ln w="25400">
                <a:solidFill>
                  <a:sysClr val="window" lastClr="FFFFFF"/>
                </a:solidFill>
              </a:ln>
              <a:effectLst/>
              <a:scene3d>
                <a:camera prst="orthographicFront"/>
                <a:lightRig rig="threePt" dir="t"/>
              </a:scene3d>
              <a:sp3d contourW="25400"/>
            </c:spPr>
          </c:dPt>
          <c:dPt>
            <c:idx val="1"/>
            <c:spPr>
              <a:solidFill>
                <a:srgbClr val="ED7D31"/>
              </a:solidFill>
              <a:ln w="25400">
                <a:solidFill>
                  <a:sysClr val="window" lastClr="FFFFFF"/>
                </a:solidFill>
              </a:ln>
              <a:effectLst/>
              <a:scene3d>
                <a:camera prst="orthographicFront"/>
                <a:lightRig rig="threePt" dir="t"/>
              </a:scene3d>
              <a:sp3d contourW="25400"/>
            </c:spPr>
          </c:dPt>
          <c:dPt>
            <c:idx val="2"/>
            <c:spPr>
              <a:solidFill>
                <a:srgbClr val="A5A5A5"/>
              </a:solidFill>
              <a:ln w="25400">
                <a:solidFill>
                  <a:sysClr val="window" lastClr="FFFFFF"/>
                </a:solidFill>
              </a:ln>
              <a:effectLst/>
              <a:scene3d>
                <a:camera prst="orthographicFront"/>
                <a:lightRig rig="threePt" dir="t"/>
              </a:scene3d>
              <a:sp3d contourW="25400"/>
            </c:spPr>
          </c:dPt>
          <c:dPt>
            <c:idx val="3"/>
            <c:spPr>
              <a:solidFill>
                <a:srgbClr val="FFC000"/>
              </a:solidFill>
              <a:ln w="25400">
                <a:solidFill>
                  <a:sysClr val="window" lastClr="FFFFFF"/>
                </a:solidFill>
              </a:ln>
              <a:effectLst/>
              <a:scene3d>
                <a:camera prst="orthographicFront"/>
                <a:lightRig rig="threePt" dir="t"/>
              </a:scene3d>
              <a:sp3d contourW="25400"/>
            </c:spPr>
          </c:dPt>
          <c:dPt>
            <c:idx val="4"/>
            <c:spPr>
              <a:solidFill>
                <a:srgbClr val="4472C4"/>
              </a:solidFill>
              <a:ln w="25400">
                <a:solidFill>
                  <a:sysClr val="window" lastClr="FFFFFF"/>
                </a:solidFill>
              </a:ln>
              <a:effectLst/>
              <a:scene3d>
                <a:camera prst="orthographicFront"/>
                <a:lightRig rig="threePt" dir="t"/>
              </a:scene3d>
              <a:sp3d contourW="25400"/>
            </c:spPr>
          </c:dPt>
          <c:dPt>
            <c:idx val="5"/>
            <c:spPr>
              <a:solidFill>
                <a:srgbClr val="70AD47"/>
              </a:solidFill>
              <a:ln w="25400">
                <a:solidFill>
                  <a:sysClr val="window" lastClr="FFFFFF"/>
                </a:solidFill>
              </a:ln>
              <a:effectLst/>
              <a:scene3d>
                <a:camera prst="orthographicFront"/>
                <a:lightRig rig="threePt" dir="t"/>
              </a:scene3d>
              <a:sp3d contourW="25400"/>
            </c:spPr>
          </c:dPt>
          <c:dPt>
            <c:idx val="6"/>
            <c:spPr>
              <a:solidFill>
                <a:srgbClr val="5B9BD5">
                  <a:lumMod val="60000"/>
                </a:srgbClr>
              </a:solidFill>
              <a:ln w="25400">
                <a:solidFill>
                  <a:sysClr val="window" lastClr="FFFFFF"/>
                </a:solidFill>
              </a:ln>
              <a:effectLst/>
              <a:scene3d>
                <a:camera prst="orthographicFront"/>
                <a:lightRig rig="threePt" dir="t"/>
              </a:scene3d>
              <a:sp3d contourW="25400"/>
            </c:spPr>
          </c:dPt>
          <c:dLbls>
            <c:dLbl>
              <c:idx val="2"/>
              <c:layout>
                <c:manualLayout>
                  <c:x val="-2.7766208524226013E-3"/>
                  <c:y val="8.101851851851849E-2"/>
                </c:manualLayout>
              </c:layout>
              <c:dLblPos val="bestFit"/>
              <c:showLegendKey val="1"/>
              <c:showCatName val="1"/>
              <c:showPercent val="1"/>
              <c:separator>
</c:separator>
              <c:extLst>
                <c:ext xmlns:c15="http://schemas.microsoft.com/office/drawing/2012/chart" uri="{CE6537A1-D6FC-4f65-9D91-7224C49458BB}">
                  <c15:layout/>
                </c:ext>
              </c:extLst>
            </c:dLbl>
            <c:dLbl>
              <c:idx val="3"/>
              <c:layout>
                <c:manualLayout>
                  <c:x val="-3.8872691933916424E-2"/>
                  <c:y val="3.2407407407407406E-2"/>
                </c:manualLayout>
              </c:layout>
              <c:dLblPos val="bestFit"/>
              <c:showLegendKey val="1"/>
              <c:showCatName val="1"/>
              <c:showPercent val="1"/>
              <c:separator>
</c:separator>
              <c:extLst>
                <c:ext xmlns:c15="http://schemas.microsoft.com/office/drawing/2012/chart" uri="{CE6537A1-D6FC-4f65-9D91-7224C49458BB}">
                  <c15:layout/>
                </c:ext>
              </c:extLst>
            </c:dLbl>
            <c:dLbl>
              <c:idx val="4"/>
              <c:layout>
                <c:manualLayout>
                  <c:x val="-4.8590864917395511E-2"/>
                  <c:y val="-3.0092592592592598E-2"/>
                </c:manualLayout>
              </c:layout>
              <c:dLblPos val="bestFit"/>
              <c:showLegendKey val="1"/>
              <c:showCatName val="1"/>
              <c:showPercent val="1"/>
              <c:separator>
</c:separator>
              <c:extLst>
                <c:ext xmlns:c15="http://schemas.microsoft.com/office/drawing/2012/chart" uri="{CE6537A1-D6FC-4f65-9D91-7224C49458BB}">
                  <c15:layout/>
                </c:ext>
              </c:extLst>
            </c:dLbl>
            <c:dLbl>
              <c:idx val="5"/>
              <c:layout>
                <c:manualLayout>
                  <c:x val="0.10828821324448103"/>
                  <c:y val="-7.1759259259259328E-2"/>
                </c:manualLayout>
              </c:layout>
              <c:dLblPos val="bestFit"/>
              <c:showLegendKey val="1"/>
              <c:showCatName val="1"/>
              <c:showPercent val="1"/>
              <c:separator>
</c:separator>
              <c:extLst>
                <c:ext xmlns:c15="http://schemas.microsoft.com/office/drawing/2012/chart" uri="{CE6537A1-D6FC-4f65-9D91-7224C49458BB}">
                  <c15:layout/>
                </c:ext>
              </c:extLst>
            </c:dLbl>
            <c:dLbl>
              <c:idx val="6"/>
              <c:layout>
                <c:manualLayout>
                  <c:x val="0.18742190753852606"/>
                  <c:y val="-4.1666666666666713E-2"/>
                </c:manualLayout>
              </c:layout>
              <c:dLblPos val="bestFit"/>
              <c:showLegendKey val="1"/>
              <c:showCatName val="1"/>
              <c:showPercent val="1"/>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lumMod val="75000"/>
                        <a:lumOff val="2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outEnd"/>
            <c:showLegendKey val="1"/>
            <c:showCatName val="1"/>
            <c:showPercent val="1"/>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[无废城市0906jl.xlsx]Sheet1!$B$2:$B$8</c:f>
              <c:strCache>
                <c:ptCount val="7"/>
                <c:pt idx="0">
                  <c:v>汽车制造业</c:v>
                </c:pt>
                <c:pt idx="1">
                  <c:v>装备制造业</c:v>
                </c:pt>
                <c:pt idx="2">
                  <c:v>生物与医药工业</c:v>
                </c:pt>
                <c:pt idx="3">
                  <c:v>农副食品加工业</c:v>
                </c:pt>
                <c:pt idx="4">
                  <c:v>建材工业</c:v>
                </c:pt>
                <c:pt idx="5">
                  <c:v>光电子信息工业</c:v>
                </c:pt>
                <c:pt idx="6">
                  <c:v>其他工业</c:v>
                </c:pt>
              </c:strCache>
            </c:strRef>
          </c:cat>
          <c:val>
            <c:numRef>
              <c:f>[无废城市0906jl.xlsx]Sheet1!$C$2:$C$8</c:f>
              <c:numCache>
                <c:formatCode>General</c:formatCode>
                <c:ptCount val="7"/>
                <c:pt idx="0">
                  <c:v>1291.9000000000001</c:v>
                </c:pt>
                <c:pt idx="1">
                  <c:v>197.7</c:v>
                </c:pt>
                <c:pt idx="2">
                  <c:v>77.7</c:v>
                </c:pt>
                <c:pt idx="3">
                  <c:v>55.2</c:v>
                </c:pt>
                <c:pt idx="4">
                  <c:v>30.9</c:v>
                </c:pt>
                <c:pt idx="5">
                  <c:v>17.100000000000001</c:v>
                </c:pt>
                <c:pt idx="6">
                  <c:v>218.5</c:v>
                </c:pt>
              </c:numCache>
            </c:numRef>
          </c:val>
        </c:ser>
        <c:dLbls>
          <c:showLegendKey val="1"/>
          <c:showCatName val="1"/>
          <c:showPercent val="1"/>
        </c:dLbls>
      </c:pie3DChart>
      <c:spPr>
        <a:noFill/>
        <a:ln>
          <a:noFill/>
        </a:ln>
        <a:effectLst/>
      </c:spPr>
    </c:plotArea>
    <c:plotVisOnly val="1"/>
    <c:dispBlanksAs val="zero"/>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80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view3D>
      <c:rotX val="30"/>
      <c:depthPercent val="100"/>
      <c:perspective val="30"/>
    </c:view3D>
    <c:floor>
      <c:spPr>
        <a:noFill/>
        <a:effectLst/>
      </c:spPr>
    </c:floor>
    <c:sideWall>
      <c:spPr>
        <a:noFill/>
        <a:effectLst/>
      </c:spPr>
    </c:sideWall>
    <c:backWall>
      <c:spPr>
        <a:noFill/>
        <a:effectLst/>
      </c:spPr>
    </c:backWall>
    <c:plotArea>
      <c:layout>
        <c:manualLayout>
          <c:layoutTarget val="inner"/>
          <c:xMode val="edge"/>
          <c:yMode val="edge"/>
          <c:x val="6.5727699530516423E-2"/>
          <c:y val="0.18897637795275601"/>
          <c:w val="0.87286384976525777"/>
          <c:h val="0.75759280089988823"/>
        </c:manualLayout>
      </c:layout>
      <c:pie3DChart>
        <c:varyColors val="1"/>
        <c:ser>
          <c:idx val="0"/>
          <c:order val="0"/>
          <c:tx>
            <c:strRef>
              <c:f>[无废城市0705jl.xlsx]各单位反馈!$B$267</c:f>
              <c:strCache>
                <c:ptCount val="1"/>
                <c:pt idx="0">
                  <c:v>工业危险废物利用处置方式</c:v>
                </c:pt>
              </c:strCache>
            </c:strRef>
          </c:tx>
          <c:spPr>
            <a:scene3d>
              <a:camera prst="orthographicFront"/>
              <a:lightRig rig="threePt" dir="t"/>
            </a:scene3d>
            <a:sp3d contourW="25400"/>
          </c:spPr>
          <c:dPt>
            <c:idx val="0"/>
            <c:spPr>
              <a:solidFill>
                <a:srgbClr val="5B9BD5"/>
              </a:solidFill>
              <a:ln w="25400">
                <a:solidFill>
                  <a:sysClr val="window" lastClr="FFFFFF"/>
                </a:solidFill>
              </a:ln>
              <a:effectLst/>
              <a:scene3d>
                <a:camera prst="orthographicFront"/>
                <a:lightRig rig="threePt" dir="t"/>
              </a:scene3d>
              <a:sp3d contourW="25400"/>
            </c:spPr>
          </c:dPt>
          <c:dPt>
            <c:idx val="1"/>
            <c:spPr>
              <a:solidFill>
                <a:srgbClr val="ED7D31"/>
              </a:solidFill>
              <a:ln w="25400">
                <a:solidFill>
                  <a:sysClr val="window" lastClr="FFFFFF"/>
                </a:solidFill>
              </a:ln>
              <a:effectLst/>
              <a:scene3d>
                <a:camera prst="orthographicFront"/>
                <a:lightRig rig="threePt" dir="t"/>
              </a:scene3d>
              <a:sp3d contourW="25400"/>
            </c:spPr>
          </c:dPt>
          <c:dPt>
            <c:idx val="2"/>
            <c:spPr>
              <a:solidFill>
                <a:srgbClr val="A5A5A5"/>
              </a:solidFill>
              <a:ln w="25400">
                <a:solidFill>
                  <a:sysClr val="window" lastClr="FFFFFF"/>
                </a:solidFill>
              </a:ln>
              <a:effectLst/>
              <a:scene3d>
                <a:camera prst="orthographicFront"/>
                <a:lightRig rig="threePt" dir="t"/>
              </a:scene3d>
              <a:sp3d contourW="25400"/>
            </c:spPr>
          </c:dPt>
          <c:dPt>
            <c:idx val="3"/>
            <c:spPr>
              <a:solidFill>
                <a:srgbClr val="FFC000"/>
              </a:solidFill>
              <a:ln w="25400">
                <a:solidFill>
                  <a:sysClr val="window" lastClr="FFFFFF"/>
                </a:solidFill>
              </a:ln>
              <a:effectLst/>
              <a:scene3d>
                <a:camera prst="orthographicFront"/>
                <a:lightRig rig="threePt" dir="t"/>
              </a:scene3d>
              <a:sp3d contourW="25400"/>
            </c:spPr>
          </c:dPt>
          <c:dPt>
            <c:idx val="4"/>
            <c:spPr>
              <a:solidFill>
                <a:srgbClr val="4472C4"/>
              </a:solidFill>
              <a:ln w="25400">
                <a:solidFill>
                  <a:sysClr val="window" lastClr="FFFFFF"/>
                </a:solidFill>
              </a:ln>
              <a:effectLst/>
              <a:scene3d>
                <a:camera prst="orthographicFront"/>
                <a:lightRig rig="threePt" dir="t"/>
              </a:scene3d>
              <a:sp3d contourW="25400"/>
            </c:spPr>
          </c:dPt>
          <c:dPt>
            <c:idx val="5"/>
            <c:spPr>
              <a:solidFill>
                <a:srgbClr val="70AD47"/>
              </a:solidFill>
              <a:ln w="25400">
                <a:solidFill>
                  <a:sysClr val="window" lastClr="FFFFFF"/>
                </a:solidFill>
              </a:ln>
              <a:effectLst/>
              <a:scene3d>
                <a:camera prst="orthographicFront"/>
                <a:lightRig rig="threePt" dir="t"/>
              </a:scene3d>
              <a:sp3d contourW="25400"/>
            </c:spPr>
          </c:dPt>
          <c:dLbls>
            <c:dLbl>
              <c:idx val="2"/>
              <c:layout>
                <c:manualLayout>
                  <c:x val="-1.6666666666666707E-3"/>
                  <c:y val="0"/>
                </c:manualLayout>
              </c:layout>
              <c:dLblPos val="bestFit"/>
              <c:showLegendKey val="1"/>
              <c:showCatName val="1"/>
              <c:showPercent val="1"/>
              <c:separator>
</c:separator>
              <c:extLst>
                <c:ext xmlns:c15="http://schemas.microsoft.com/office/drawing/2012/chart" uri="{CE6537A1-D6FC-4f65-9D91-7224C49458BB}">
                  <c15:layout/>
                </c:ext>
              </c:extLst>
            </c:dLbl>
            <c:dLbl>
              <c:idx val="4"/>
              <c:layout>
                <c:manualLayout>
                  <c:x val="8.3333333333333332E-3"/>
                  <c:y val="-2.8277634961439608E-2"/>
                </c:manualLayout>
              </c:layout>
              <c:dLblPos val="bestFit"/>
              <c:showLegendKey val="1"/>
              <c:showCatName val="1"/>
              <c:showPercent val="1"/>
              <c:separator>
</c:separator>
              <c:extLst>
                <c:ext xmlns:c15="http://schemas.microsoft.com/office/drawing/2012/chart" uri="{CE6537A1-D6FC-4f65-9D91-7224C49458BB}">
                  <c15:layout/>
                </c:ext>
              </c:extLst>
            </c:dLbl>
            <c:dLbl>
              <c:idx val="5"/>
              <c:layout>
                <c:manualLayout>
                  <c:x val="7.3333333333333334E-2"/>
                  <c:y val="-2.0565552699228808E-2"/>
                </c:manualLayout>
              </c:layout>
              <c:dLblPos val="bestFit"/>
              <c:showLegendKey val="1"/>
              <c:showCatName val="1"/>
              <c:showPercent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lumMod val="75000"/>
                        <a:lumOff val="2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outEnd"/>
            <c:showLegendKey val="1"/>
            <c:showCatName val="1"/>
            <c:showPercent val="1"/>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[无废城市0705jl.xlsx]各单位反馈!$B$268:$B$273</c:f>
              <c:strCache>
                <c:ptCount val="6"/>
                <c:pt idx="0">
                  <c:v>利用</c:v>
                </c:pt>
                <c:pt idx="1">
                  <c:v>物理化学处理</c:v>
                </c:pt>
                <c:pt idx="2">
                  <c:v>焚烧</c:v>
                </c:pt>
                <c:pt idx="3">
                  <c:v>贮存</c:v>
                </c:pt>
                <c:pt idx="4">
                  <c:v>水泥窑共处置</c:v>
                </c:pt>
                <c:pt idx="5">
                  <c:v>其他</c:v>
                </c:pt>
              </c:strCache>
            </c:strRef>
          </c:cat>
          <c:val>
            <c:numRef>
              <c:f>[无废城市0705jl.xlsx]各单位反馈!$C$268:$C$273</c:f>
              <c:numCache>
                <c:formatCode>0.00%</c:formatCode>
                <c:ptCount val="6"/>
                <c:pt idx="0">
                  <c:v>0.52500000000000002</c:v>
                </c:pt>
                <c:pt idx="1">
                  <c:v>0.223</c:v>
                </c:pt>
                <c:pt idx="2">
                  <c:v>0.111</c:v>
                </c:pt>
                <c:pt idx="3">
                  <c:v>7.2000000000000022E-2</c:v>
                </c:pt>
                <c:pt idx="4">
                  <c:v>4.6000000000000013E-2</c:v>
                </c:pt>
                <c:pt idx="5">
                  <c:v>2.3000000000000007E-2</c:v>
                </c:pt>
              </c:numCache>
            </c:numRef>
          </c:val>
        </c:ser>
        <c:dLbls>
          <c:showLegendKey val="1"/>
          <c:showCatName val="1"/>
          <c:showPercent val="1"/>
        </c:dLbls>
      </c:pie3DChart>
      <c:spPr>
        <a:noFill/>
        <a:ln>
          <a:noFill/>
        </a:ln>
        <a:effectLst/>
      </c:spPr>
    </c:plotArea>
    <c:plotVisOnly val="1"/>
    <c:dispBlanksAs val="zero"/>
  </c:chart>
  <c:spPr>
    <a:solidFill>
      <a:sysClr val="window" lastClr="FFFFFF"/>
    </a:solidFill>
    <a:ln w="9525" cap="flat" cmpd="sng" algn="ctr">
      <a:solidFill>
        <a:sysClr val="windowText" lastClr="000000">
          <a:lumMod val="75000"/>
          <a:lumOff val="25000"/>
        </a:sysClr>
      </a:solidFill>
      <a:prstDash val="solid"/>
      <a:round/>
    </a:ln>
    <a:effectLst/>
  </c:spPr>
  <c:txPr>
    <a:bodyPr/>
    <a:lstStyle/>
    <a:p>
      <a:pPr>
        <a:defRPr lang="zh-CN" sz="80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view3D>
      <c:rotX val="30"/>
      <c:depthPercent val="100"/>
      <c:perspective val="30"/>
    </c:view3D>
    <c:floor>
      <c:spPr>
        <a:noFill/>
        <a:effectLst/>
      </c:spPr>
    </c:floor>
    <c:sideWall>
      <c:spPr>
        <a:noFill/>
        <a:effectLst/>
      </c:spPr>
    </c:sideWall>
    <c:backWall>
      <c:spPr>
        <a:noFill/>
        <a:effectLst/>
      </c:spPr>
    </c:backWall>
    <c:plotArea>
      <c:layout>
        <c:manualLayout>
          <c:layoutTarget val="inner"/>
          <c:xMode val="edge"/>
          <c:yMode val="edge"/>
          <c:x val="0.16867469879518096"/>
          <c:y val="0.16808059384941701"/>
          <c:w val="0.6732334744382944"/>
          <c:h val="0.82237539766702017"/>
        </c:manualLayout>
      </c:layout>
      <c:pie3DChart>
        <c:varyColors val="1"/>
        <c:ser>
          <c:idx val="0"/>
          <c:order val="0"/>
          <c:spPr>
            <a:scene3d>
              <a:camera prst="orthographicFront"/>
              <a:lightRig rig="threePt" dir="t"/>
            </a:scene3d>
            <a:sp3d contourW="9525"/>
          </c:spPr>
          <c:dPt>
            <c:idx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1"/>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2"/>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dPt>
          <c:dPt>
            <c:idx val="3"/>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dPt>
          <c:dPt>
            <c:idx val="4"/>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dPt>
          <c:dPt>
            <c:idx val="5"/>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dPt>
          <c:dPt>
            <c:idx val="6"/>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c:spPr>
          </c:dPt>
          <c:dLbls>
            <c:dLbl>
              <c:idx val="3"/>
              <c:layout>
                <c:manualLayout>
                  <c:x val="-6.6889632107023395E-2"/>
                  <c:y val="0"/>
                </c:manualLayout>
              </c:layout>
              <c:dLblPos val="bestFit"/>
              <c:showCatName val="1"/>
              <c:showPercent val="1"/>
              <c:separator>
</c:separator>
              <c:extLst>
                <c:ext xmlns:c15="http://schemas.microsoft.com/office/drawing/2012/chart" uri="{CE6537A1-D6FC-4f65-9D91-7224C49458BB}">
                  <c15:layout/>
                </c:ext>
              </c:extLst>
            </c:dLbl>
            <c:dLbl>
              <c:idx val="4"/>
              <c:layout>
                <c:manualLayout>
                  <c:x val="-5.0421517943780914E-2"/>
                  <c:y val="-2.4400878741564307E-2"/>
                </c:manualLayout>
              </c:layout>
              <c:dLblPos val="bestFit"/>
              <c:showCatName val="1"/>
              <c:showPercent val="1"/>
              <c:separator>
</c:separator>
              <c:extLst>
                <c:ext xmlns:c15="http://schemas.microsoft.com/office/drawing/2012/chart" uri="{CE6537A1-D6FC-4f65-9D91-7224C49458BB}">
                  <c15:layout/>
                </c:ext>
              </c:extLst>
            </c:dLbl>
            <c:dLbl>
              <c:idx val="5"/>
              <c:layout>
                <c:manualLayout>
                  <c:x val="4.3563206999561115E-2"/>
                  <c:y val="-2.2922636103151907E-2"/>
                </c:manualLayout>
              </c:layout>
              <c:dLblPos val="bestFit"/>
              <c:showCatName val="1"/>
              <c:showPercent val="1"/>
              <c:separator>
</c:separator>
              <c:extLst>
                <c:ext xmlns:c15="http://schemas.microsoft.com/office/drawing/2012/chart" uri="{CE6537A1-D6FC-4f65-9D91-7224C49458BB}">
                  <c15:layout/>
                </c:ext>
              </c:extLst>
            </c:dLbl>
            <c:dLbl>
              <c:idx val="6"/>
              <c:layout>
                <c:manualLayout>
                  <c:x val="0.15668858204217107"/>
                  <c:y val="2.9429638385084507E-2"/>
                </c:manualLayout>
              </c:layout>
              <c:dLblPos val="bestFit"/>
              <c:showCatName val="1"/>
              <c:showPercent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2"/>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outEnd"/>
            <c:showCatName val="1"/>
            <c:showPercent val="1"/>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[无废城市0704jl.xlsx]环统与公告数据!$B$78:$B$84</c:f>
              <c:strCache>
                <c:ptCount val="7"/>
                <c:pt idx="0">
                  <c:v>粉煤灰</c:v>
                </c:pt>
                <c:pt idx="1">
                  <c:v>炉渣</c:v>
                </c:pt>
                <c:pt idx="2">
                  <c:v>其他废物</c:v>
                </c:pt>
                <c:pt idx="3">
                  <c:v>脱硫石膏</c:v>
                </c:pt>
                <c:pt idx="4">
                  <c:v>煤矸石</c:v>
                </c:pt>
                <c:pt idx="5">
                  <c:v>冶炼废渣</c:v>
                </c:pt>
                <c:pt idx="6">
                  <c:v>污泥</c:v>
                </c:pt>
              </c:strCache>
            </c:strRef>
          </c:cat>
          <c:val>
            <c:numRef>
              <c:f>[无废城市0704jl.xlsx]环统与公告数据!$C$78:$C$84</c:f>
              <c:numCache>
                <c:formatCode>General</c:formatCode>
                <c:ptCount val="7"/>
                <c:pt idx="0">
                  <c:v>332.94661799999989</c:v>
                </c:pt>
                <c:pt idx="1">
                  <c:v>177.41247100000001</c:v>
                </c:pt>
                <c:pt idx="2">
                  <c:v>75.776725999999982</c:v>
                </c:pt>
                <c:pt idx="3">
                  <c:v>51.450407999999996</c:v>
                </c:pt>
                <c:pt idx="4">
                  <c:v>7.5190999999999999</c:v>
                </c:pt>
                <c:pt idx="5">
                  <c:v>6.5475979999999989</c:v>
                </c:pt>
                <c:pt idx="6">
                  <c:v>3.278616</c:v>
                </c:pt>
              </c:numCache>
            </c:numRef>
          </c:val>
        </c:ser>
        <c:dLbls>
          <c:showCatName val="1"/>
          <c:showPercent val="1"/>
        </c:dLbls>
      </c:pie3DChart>
      <c:spPr>
        <a:noFill/>
        <a:ln>
          <a:noFill/>
        </a:ln>
        <a:effectLst/>
      </c:spPr>
    </c:plotArea>
    <c:plotVisOnly val="1"/>
    <c:dispBlanksAs val="zero"/>
  </c:chart>
  <c:spPr>
    <a:solidFill>
      <a:schemeClr val="bg1"/>
    </a:solidFill>
    <a:ln w="9525" cap="flat" cmpd="sng" algn="ctr">
      <a:solidFill>
        <a:schemeClr val="tx2">
          <a:lumMod val="15000"/>
          <a:lumOff val="85000"/>
        </a:schemeClr>
      </a:solidFill>
      <a:prstDash val="solid"/>
      <a:round/>
    </a:ln>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876951331496811"/>
          <c:y val="0.21818718630056105"/>
          <c:w val="0.4690541781450871"/>
          <c:h val="0.75405963979923218"/>
        </c:manualLayout>
      </c:layout>
      <c:pieChart>
        <c:varyColors val="1"/>
        <c:ser>
          <c:idx val="0"/>
          <c:order val="0"/>
          <c:tx>
            <c:strRef>
              <c:f>[无废城市0704jl.xlsx]环统与公告数据!$D$76</c:f>
              <c:strCache>
                <c:ptCount val="1"/>
                <c:pt idx="0">
                  <c:v>综合利用量</c:v>
                </c:pt>
              </c:strCache>
            </c:strRef>
          </c:tx>
          <c:dPt>
            <c:idx val="0"/>
            <c:spPr>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c:spPr>
          </c:dPt>
          <c:dPt>
            <c:idx val="1"/>
            <c:spPr>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c:spPr>
          </c:dPt>
          <c:dPt>
            <c:idx val="2"/>
            <c:spPr>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c:spPr>
          </c:dPt>
          <c:dPt>
            <c:idx val="3"/>
            <c:spPr>
              <a:gradFill rotWithShape="1">
                <a:gsLst>
                  <a:gs pos="0">
                    <a:srgbClr val="70AD47">
                      <a:lumMod val="60000"/>
                      <a:satMod val="103000"/>
                      <a:lumMod val="102000"/>
                      <a:tint val="94000"/>
                    </a:srgbClr>
                  </a:gs>
                  <a:gs pos="50000">
                    <a:srgbClr val="70AD47">
                      <a:lumMod val="60000"/>
                      <a:satMod val="110000"/>
                      <a:lumMod val="100000"/>
                      <a:shade val="100000"/>
                    </a:srgbClr>
                  </a:gs>
                  <a:gs pos="100000">
                    <a:srgbClr val="70AD47">
                      <a:lumMod val="60000"/>
                      <a:lumMod val="99000"/>
                      <a:satMod val="120000"/>
                      <a:shade val="78000"/>
                    </a:srgbClr>
                  </a:gs>
                </a:gsLst>
                <a:lin ang="5400000" scaled="0"/>
              </a:gradFill>
              <a:ln>
                <a:noFill/>
              </a:ln>
              <a:effectLst/>
            </c:spPr>
          </c:dPt>
          <c:dPt>
            <c:idx val="4"/>
            <c:spPr>
              <a:gradFill rotWithShape="1">
                <a:gsLst>
                  <a:gs pos="0">
                    <a:srgbClr val="4472C4">
                      <a:lumMod val="60000"/>
                      <a:satMod val="103000"/>
                      <a:lumMod val="102000"/>
                      <a:tint val="94000"/>
                    </a:srgbClr>
                  </a:gs>
                  <a:gs pos="50000">
                    <a:srgbClr val="4472C4">
                      <a:lumMod val="60000"/>
                      <a:satMod val="110000"/>
                      <a:lumMod val="100000"/>
                      <a:shade val="100000"/>
                    </a:srgbClr>
                  </a:gs>
                  <a:gs pos="100000">
                    <a:srgbClr val="4472C4">
                      <a:lumMod val="60000"/>
                      <a:lumMod val="99000"/>
                      <a:satMod val="120000"/>
                      <a:shade val="78000"/>
                    </a:srgbClr>
                  </a:gs>
                </a:gsLst>
                <a:lin ang="5400000" scaled="0"/>
              </a:gradFill>
              <a:ln>
                <a:noFill/>
              </a:ln>
              <a:effectLst/>
            </c:spPr>
          </c:dPt>
          <c:dPt>
            <c:idx val="5"/>
            <c:spPr>
              <a:gradFill rotWithShape="1">
                <a:gsLst>
                  <a:gs pos="0">
                    <a:srgbClr val="FFC000">
                      <a:lumMod val="60000"/>
                      <a:satMod val="103000"/>
                      <a:lumMod val="102000"/>
                      <a:tint val="94000"/>
                    </a:srgbClr>
                  </a:gs>
                  <a:gs pos="50000">
                    <a:srgbClr val="FFC000">
                      <a:lumMod val="60000"/>
                      <a:satMod val="110000"/>
                      <a:lumMod val="100000"/>
                      <a:shade val="100000"/>
                    </a:srgbClr>
                  </a:gs>
                  <a:gs pos="100000">
                    <a:srgbClr val="FFC000">
                      <a:lumMod val="60000"/>
                      <a:lumMod val="99000"/>
                      <a:satMod val="120000"/>
                      <a:shade val="78000"/>
                    </a:srgbClr>
                  </a:gs>
                </a:gsLst>
                <a:lin ang="5400000" scaled="0"/>
              </a:gradFill>
              <a:ln>
                <a:noFill/>
              </a:ln>
              <a:effectLst/>
            </c:spPr>
          </c:dPt>
          <c:dPt>
            <c:idx val="6"/>
            <c:spPr>
              <a:gradFill rotWithShape="1">
                <a:gsLst>
                  <a:gs pos="0">
                    <a:srgbClr val="70AD47">
                      <a:lumMod val="80000"/>
                      <a:lumOff val="20000"/>
                      <a:satMod val="103000"/>
                      <a:lumMod val="102000"/>
                      <a:tint val="94000"/>
                    </a:srgbClr>
                  </a:gs>
                  <a:gs pos="50000">
                    <a:srgbClr val="70AD47">
                      <a:lumMod val="80000"/>
                      <a:lumOff val="20000"/>
                      <a:satMod val="110000"/>
                      <a:lumMod val="100000"/>
                      <a:shade val="100000"/>
                    </a:srgbClr>
                  </a:gs>
                  <a:gs pos="100000">
                    <a:srgbClr val="70AD47">
                      <a:lumMod val="80000"/>
                      <a:lumOff val="20000"/>
                      <a:lumMod val="99000"/>
                      <a:satMod val="120000"/>
                      <a:shade val="78000"/>
                    </a:srgbClr>
                  </a:gs>
                </a:gsLst>
                <a:lin ang="5400000" scaled="0"/>
              </a:gradFill>
              <a:ln>
                <a:noFill/>
              </a:ln>
              <a:effectLst/>
            </c:spPr>
          </c:dPt>
          <c:dLbls>
            <c:dLbl>
              <c:idx val="3"/>
              <c:layout>
                <c:manualLayout>
                  <c:x val="-6.6889632107023395E-2"/>
                  <c:y val="0"/>
                </c:manualLayout>
              </c:layout>
              <c:dLblPos val="bestFit"/>
              <c:showCatName val="1"/>
              <c:showPercent val="1"/>
              <c:separator>
</c:separator>
              <c:extLst>
                <c:ext xmlns:c15="http://schemas.microsoft.com/office/drawing/2012/chart" uri="{CE6537A1-D6FC-4f65-9D91-7224C49458BB}">
                  <c15:layout/>
                </c:ext>
              </c:extLst>
            </c:dLbl>
            <c:dLbl>
              <c:idx val="4"/>
              <c:layout>
                <c:manualLayout>
                  <c:x val="-3.5117056856187295E-2"/>
                  <c:y val="-1.4326647564469898E-2"/>
                </c:manualLayout>
              </c:layout>
              <c:dLblPos val="bestFit"/>
              <c:showCatName val="1"/>
              <c:showPercent val="1"/>
              <c:separator>
</c:separator>
              <c:extLst>
                <c:ext xmlns:c15="http://schemas.microsoft.com/office/drawing/2012/chart" uri="{CE6537A1-D6FC-4f65-9D91-7224C49458BB}">
                  <c15:layout/>
                </c:ext>
              </c:extLst>
            </c:dLbl>
            <c:dLbl>
              <c:idx val="5"/>
              <c:layout>
                <c:manualLayout>
                  <c:x val="1.8394648829431402E-2"/>
                  <c:y val="-2.2922636103151907E-2"/>
                </c:manualLayout>
              </c:layout>
              <c:dLblPos val="bestFit"/>
              <c:showCatName val="1"/>
              <c:showPercent val="1"/>
              <c:separator>
</c:separator>
              <c:extLst>
                <c:ext xmlns:c15="http://schemas.microsoft.com/office/drawing/2012/chart" uri="{CE6537A1-D6FC-4f65-9D91-7224C49458BB}">
                  <c15:layout/>
                </c:ext>
              </c:extLst>
            </c:dLbl>
            <c:dLbl>
              <c:idx val="6"/>
              <c:layout>
                <c:manualLayout>
                  <c:x val="0.14214046822742507"/>
                  <c:y val="5.7306590257880227E-3"/>
                </c:manualLayout>
              </c:layout>
              <c:dLblPos val="bestFit"/>
              <c:showCatName val="1"/>
              <c:showPercent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44546A"/>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outEnd"/>
            <c:showCatName val="1"/>
            <c:showPercent val="1"/>
            <c:showLeaderLines val="1"/>
            <c:extLst>
              <c:ext xmlns:c15="http://schemas.microsoft.com/office/drawing/2012/chart" uri="{CE6537A1-D6FC-4f65-9D91-7224C49458BB}">
                <c15:layout/>
                <c15:showLeaderLines val="1"/>
                <c15:leaderLines>
                  <c:spPr>
                    <a:ln w="9525">
                      <a:solidFill>
                        <a:srgbClr val="44546A">
                          <a:lumMod val="35000"/>
                          <a:lumOff val="65000"/>
                        </a:srgbClr>
                      </a:solidFill>
                    </a:ln>
                    <a:effectLst/>
                  </c:spPr>
                </c15:leaderLines>
              </c:ext>
            </c:extLst>
          </c:dLbls>
          <c:cat>
            <c:strRef>
              <c:f>[无废城市0704jl.xlsx]环统与公告数据!$B$78:$B$84</c:f>
              <c:strCache>
                <c:ptCount val="7"/>
                <c:pt idx="0">
                  <c:v>粉煤灰</c:v>
                </c:pt>
                <c:pt idx="1">
                  <c:v>炉渣</c:v>
                </c:pt>
                <c:pt idx="2">
                  <c:v>煤矸石</c:v>
                </c:pt>
                <c:pt idx="3">
                  <c:v>脱硫石膏</c:v>
                </c:pt>
                <c:pt idx="4">
                  <c:v>其他废物</c:v>
                </c:pt>
                <c:pt idx="5">
                  <c:v>污泥</c:v>
                </c:pt>
                <c:pt idx="6">
                  <c:v>冶炼废渣</c:v>
                </c:pt>
              </c:strCache>
            </c:strRef>
          </c:cat>
          <c:val>
            <c:numRef>
              <c:f>[无废城市0704jl.xlsx]环统与公告数据!$D$78:$D$84</c:f>
              <c:numCache>
                <c:formatCode>General</c:formatCode>
                <c:ptCount val="7"/>
                <c:pt idx="0">
                  <c:v>303.00890199999992</c:v>
                </c:pt>
                <c:pt idx="1">
                  <c:v>147.86405499999998</c:v>
                </c:pt>
                <c:pt idx="2">
                  <c:v>56.110500000000002</c:v>
                </c:pt>
                <c:pt idx="3">
                  <c:v>46.805710000000012</c:v>
                </c:pt>
                <c:pt idx="4">
                  <c:v>42.655271000000006</c:v>
                </c:pt>
                <c:pt idx="5">
                  <c:v>3.1680220000000001</c:v>
                </c:pt>
                <c:pt idx="6">
                  <c:v>2.3359000000000005E-2</c:v>
                </c:pt>
              </c:numCache>
            </c:numRef>
          </c:val>
        </c:ser>
        <c:dLbls>
          <c:showCatName val="1"/>
          <c:showPercent val="1"/>
        </c:dLbls>
        <c:firstSliceAng val="0"/>
      </c:pieChart>
      <c:spPr>
        <a:noFill/>
        <a:ln>
          <a:noFill/>
        </a:ln>
        <a:effectLst/>
      </c:spPr>
    </c:plotArea>
    <c:plotVisOnly val="1"/>
    <c:dispBlanksAs val="zero"/>
  </c:chart>
  <c:spPr>
    <a:solidFill>
      <a:sysClr val="window" lastClr="FFFFFF"/>
    </a:solidFill>
    <a:ln w="9525" cap="flat" cmpd="sng" algn="ctr">
      <a:solidFill>
        <a:sysClr val="windowText" lastClr="000000">
          <a:lumMod val="50000"/>
          <a:lumOff val="50000"/>
        </a:sysClr>
      </a:solidFill>
      <a:round/>
    </a:ln>
    <a:effectLst/>
  </c:spPr>
  <c:txPr>
    <a:bodyPr/>
    <a:lstStyle/>
    <a:p>
      <a:pPr>
        <a:defRPr lang="zh-CN" sz="80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091211587394814"/>
          <c:y val="0.1762035028520931"/>
          <c:w val="0.47621843805049902"/>
          <c:h val="0.75395103811589748"/>
        </c:manualLayout>
      </c:layout>
      <c:doughnutChart>
        <c:varyColors val="1"/>
        <c:ser>
          <c:idx val="0"/>
          <c:order val="0"/>
          <c:dPt>
            <c:idx val="0"/>
            <c:spPr>
              <a:solidFill>
                <a:srgbClr val="70AD47"/>
              </a:solidFill>
              <a:ln>
                <a:noFill/>
              </a:ln>
              <a:effectLst/>
            </c:spPr>
          </c:dPt>
          <c:dPt>
            <c:idx val="1"/>
            <c:spPr>
              <a:solidFill>
                <a:srgbClr val="4472C4"/>
              </a:solidFill>
              <a:ln>
                <a:noFill/>
              </a:ln>
              <a:effectLst/>
            </c:spPr>
          </c:dPt>
          <c:dPt>
            <c:idx val="2"/>
            <c:spPr>
              <a:solidFill>
                <a:srgbClr val="FFC000"/>
              </a:solidFill>
              <a:ln>
                <a:noFill/>
              </a:ln>
              <a:effectLst/>
            </c:spPr>
          </c:dPt>
          <c:dPt>
            <c:idx val="3"/>
            <c:spPr>
              <a:solidFill>
                <a:srgbClr val="70AD47">
                  <a:lumMod val="60000"/>
                </a:srgbClr>
              </a:solidFill>
              <a:ln>
                <a:noFill/>
              </a:ln>
              <a:effectLst/>
            </c:spPr>
          </c:dPt>
          <c:dPt>
            <c:idx val="4"/>
            <c:spPr>
              <a:solidFill>
                <a:srgbClr val="4472C4">
                  <a:lumMod val="60000"/>
                </a:srgbClr>
              </a:solidFill>
              <a:ln>
                <a:noFill/>
              </a:ln>
              <a:effectLst/>
            </c:spPr>
          </c:dPt>
          <c:dLbls>
            <c:dLbl>
              <c:idx val="0"/>
              <c:layout>
                <c:manualLayout>
                  <c:x val="0.13666666666666696"/>
                  <c:y val="-3.6111111111111122E-2"/>
                </c:manualLayout>
              </c:layout>
              <c:showCatName val="1"/>
              <c:showPercent val="1"/>
              <c:separator> </c:separator>
              <c:extLst>
                <c:ext xmlns:c15="http://schemas.microsoft.com/office/drawing/2012/chart" uri="{CE6537A1-D6FC-4f65-9D91-7224C49458BB}">
                  <c15:layout/>
                </c:ext>
              </c:extLst>
            </c:dLbl>
            <c:dLbl>
              <c:idx val="1"/>
              <c:layout>
                <c:manualLayout>
                  <c:x val="-0.20500000000000004"/>
                  <c:y val="5.4444360722861303E-2"/>
                </c:manualLayout>
              </c:layout>
              <c:showCatName val="1"/>
              <c:showPercent val="1"/>
              <c:separator> </c:separator>
              <c:extLst>
                <c:ext xmlns:c15="http://schemas.microsoft.com/office/drawing/2012/chart" uri="{CE6537A1-D6FC-4f65-9D91-7224C49458BB}">
                  <c15:layout/>
                </c:ext>
              </c:extLst>
            </c:dLbl>
            <c:dLbl>
              <c:idx val="2"/>
              <c:layout>
                <c:manualLayout>
                  <c:x val="-0.176666666666667"/>
                  <c:y val="8.3333333333333332E-3"/>
                </c:manualLayout>
              </c:layout>
              <c:showCatName val="1"/>
              <c:showPercent val="1"/>
              <c:separator> </c:separator>
              <c:extLst>
                <c:ext xmlns:c15="http://schemas.microsoft.com/office/drawing/2012/chart" uri="{CE6537A1-D6FC-4f65-9D91-7224C49458BB}">
                  <c15:layout/>
                </c:ext>
              </c:extLst>
            </c:dLbl>
            <c:dLbl>
              <c:idx val="3"/>
              <c:layout>
                <c:manualLayout>
                  <c:x val="-0.1583333333333331"/>
                  <c:y val="-0.108333333333333"/>
                </c:manualLayout>
              </c:layout>
              <c:showCatName val="1"/>
              <c:showPercent val="1"/>
              <c:separator> </c:separator>
              <c:extLst>
                <c:ext xmlns:c15="http://schemas.microsoft.com/office/drawing/2012/chart" uri="{CE6537A1-D6FC-4f65-9D91-7224C49458BB}">
                  <c15:layout/>
                </c:ext>
              </c:extLst>
            </c:dLbl>
            <c:dLbl>
              <c:idx val="4"/>
              <c:layout>
                <c:manualLayout>
                  <c:x val="0.151666666666667"/>
                  <c:y val="-0.113888888888889"/>
                </c:manualLayout>
              </c:layout>
              <c:showCatName val="1"/>
              <c:showPercent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showCatName val="1"/>
            <c:showPercent val="1"/>
            <c:separator> </c:separator>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[无废城市0704jl.xlsx]各单位反馈!$B$242:$B$246</c:f>
              <c:strCache>
                <c:ptCount val="5"/>
                <c:pt idx="0">
                  <c:v>能源化</c:v>
                </c:pt>
                <c:pt idx="1">
                  <c:v>肥料化</c:v>
                </c:pt>
                <c:pt idx="2">
                  <c:v>饲料化</c:v>
                </c:pt>
                <c:pt idx="3">
                  <c:v>基料化</c:v>
                </c:pt>
                <c:pt idx="4">
                  <c:v>原料化</c:v>
                </c:pt>
              </c:strCache>
            </c:strRef>
          </c:cat>
          <c:val>
            <c:numRef>
              <c:f>[无废城市0704jl.xlsx]各单位反馈!$C$242:$C$246</c:f>
              <c:numCache>
                <c:formatCode>General</c:formatCode>
                <c:ptCount val="5"/>
                <c:pt idx="0">
                  <c:v>293</c:v>
                </c:pt>
                <c:pt idx="1">
                  <c:v>287.45</c:v>
                </c:pt>
                <c:pt idx="2">
                  <c:v>248.20999999999998</c:v>
                </c:pt>
                <c:pt idx="3">
                  <c:v>7.09</c:v>
                </c:pt>
                <c:pt idx="4">
                  <c:v>0.35000000000000009</c:v>
                </c:pt>
              </c:numCache>
            </c:numRef>
          </c:val>
        </c:ser>
        <c:dLbls>
          <c:showPercent val="1"/>
        </c:dLbls>
        <c:firstSliceAng val="0"/>
        <c:holeSize val="50"/>
      </c:doughnutChart>
      <c:spPr>
        <a:noFill/>
        <a:ln>
          <a:noFill/>
        </a:ln>
        <a:effectLst/>
      </c:spPr>
    </c:plotArea>
    <c:plotVisOnly val="1"/>
    <c:dispBlanksAs val="zero"/>
  </c:chart>
  <c:spPr>
    <a:solidFill>
      <a:sysClr val="window" lastClr="FFFFFF"/>
    </a:solidFill>
    <a:ln w="9525" cap="flat" cmpd="sng" algn="ctr">
      <a:solidFill>
        <a:sysClr val="windowText" lastClr="000000">
          <a:lumMod val="50000"/>
          <a:lumOff val="50000"/>
        </a:sysClr>
      </a:solidFill>
      <a:prstDash val="solid"/>
      <a:round/>
    </a:ln>
    <a:effectLst/>
  </c:spPr>
  <c:txPr>
    <a:bodyPr/>
    <a:lstStyle/>
    <a:p>
      <a:pPr>
        <a:defRPr lang="zh-CN" sz="800" b="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view3D>
      <c:rotX val="30"/>
      <c:depthPercent val="100"/>
      <c:perspective val="30"/>
    </c:view3D>
    <c:floor>
      <c:spPr>
        <a:noFill/>
        <a:effectLst/>
      </c:spPr>
    </c:floor>
    <c:sideWall>
      <c:spPr>
        <a:noFill/>
        <a:effectLst/>
      </c:spPr>
    </c:sideWall>
    <c:backWall>
      <c:spPr>
        <a:noFill/>
        <a:effectLst/>
      </c:spPr>
    </c:backWall>
    <c:plotArea>
      <c:layout>
        <c:manualLayout>
          <c:layoutTarget val="inner"/>
          <c:xMode val="edge"/>
          <c:yMode val="edge"/>
          <c:x val="2.4367900329791109E-2"/>
          <c:y val="0.25184319500028701"/>
          <c:w val="0.93888888888888922"/>
          <c:h val="0.66782407407407463"/>
        </c:manualLayout>
      </c:layout>
      <c:pie3DChart>
        <c:varyColors val="1"/>
        <c:ser>
          <c:idx val="0"/>
          <c:order val="0"/>
          <c:spPr>
            <a:scene3d>
              <a:camera prst="orthographicFront"/>
              <a:lightRig rig="threePt" dir="t"/>
            </a:scene3d>
            <a:sp3d contourW="25400"/>
          </c:spPr>
          <c:dPt>
            <c:idx val="0"/>
            <c:spPr>
              <a:solidFill>
                <a:srgbClr val="F79646"/>
              </a:solidFill>
              <a:ln w="25400">
                <a:solidFill>
                  <a:sysClr val="window" lastClr="FFFFFF"/>
                </a:solidFill>
              </a:ln>
              <a:effectLst/>
              <a:scene3d>
                <a:camera prst="orthographicFront"/>
                <a:lightRig rig="threePt" dir="t"/>
              </a:scene3d>
              <a:sp3d contourW="25400"/>
            </c:spPr>
          </c:dPt>
          <c:dPt>
            <c:idx val="1"/>
            <c:spPr>
              <a:solidFill>
                <a:srgbClr val="4BACC6"/>
              </a:solidFill>
              <a:ln w="25400">
                <a:solidFill>
                  <a:sysClr val="window" lastClr="FFFFFF"/>
                </a:solidFill>
              </a:ln>
              <a:effectLst/>
              <a:scene3d>
                <a:camera prst="orthographicFront"/>
                <a:lightRig rig="threePt" dir="t"/>
              </a:scene3d>
              <a:sp3d contourW="25400"/>
            </c:spPr>
          </c:dPt>
          <c:dPt>
            <c:idx val="2"/>
            <c:spPr>
              <a:solidFill>
                <a:srgbClr val="8064A2"/>
              </a:solidFill>
              <a:ln w="25400">
                <a:solidFill>
                  <a:sysClr val="window" lastClr="FFFFFF"/>
                </a:solidFill>
              </a:ln>
              <a:effectLst/>
              <a:scene3d>
                <a:camera prst="orthographicFront"/>
                <a:lightRig rig="threePt" dir="t"/>
              </a:scene3d>
              <a:sp3d contourW="25400"/>
            </c:spPr>
          </c:dPt>
          <c:dLbls>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lumMod val="75000"/>
                        <a:lumOff val="2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outEnd"/>
            <c:showLegendKey val="1"/>
            <c:showCatName val="1"/>
            <c:showPercent val="1"/>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[无废城市0715jl.xlsx]各单位反馈!$C$85:$E$85</c:f>
              <c:strCache>
                <c:ptCount val="3"/>
                <c:pt idx="0">
                  <c:v>焚烧</c:v>
                </c:pt>
                <c:pt idx="1">
                  <c:v>填埋</c:v>
                </c:pt>
                <c:pt idx="2">
                  <c:v>厌氧发酵</c:v>
                </c:pt>
              </c:strCache>
            </c:strRef>
          </c:cat>
          <c:val>
            <c:numRef>
              <c:f>[无废城市0715jl.xlsx]各单位反馈!$C$86:$E$86</c:f>
              <c:numCache>
                <c:formatCode>General</c:formatCode>
                <c:ptCount val="3"/>
                <c:pt idx="0">
                  <c:v>1384474.5682882699</c:v>
                </c:pt>
                <c:pt idx="1">
                  <c:v>1020082.10840177</c:v>
                </c:pt>
                <c:pt idx="2">
                  <c:v>28952.649999999994</c:v>
                </c:pt>
              </c:numCache>
            </c:numRef>
          </c:val>
        </c:ser>
        <c:dLbls>
          <c:showLegendKey val="1"/>
          <c:showCatName val="1"/>
          <c:showPercent val="1"/>
        </c:dLbls>
      </c:pie3DChart>
      <c:spPr>
        <a:noFill/>
        <a:ln>
          <a:noFill/>
        </a:ln>
        <a:effectLst/>
      </c:spPr>
    </c:plotArea>
    <c:plotVisOnly val="1"/>
    <c:dispBlanksAs val="zero"/>
  </c:chart>
  <c:spPr>
    <a:solidFill>
      <a:sysClr val="window" lastClr="FFFFFF"/>
    </a:solidFill>
    <a:ln w="9525" cap="flat" cmpd="sng" algn="ctr">
      <a:solidFill>
        <a:sysClr val="windowText" lastClr="000000"/>
      </a:solidFill>
      <a:prstDash val="solid"/>
      <a:round/>
    </a:ln>
    <a:effectLst/>
  </c:spPr>
  <c:txPr>
    <a:bodyPr/>
    <a:lstStyle/>
    <a:p>
      <a:pPr>
        <a:defRPr lang="zh-CN" sz="80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59516074829199"/>
          <c:y val="0.2578390253644901"/>
          <c:w val="0.4129046712221352"/>
          <c:h val="0.73616936289195078"/>
        </c:manualLayout>
      </c:layout>
      <c:pieChart>
        <c:varyColors val="1"/>
        <c:ser>
          <c:idx val="0"/>
          <c:order val="0"/>
          <c:dPt>
            <c:idx val="0"/>
            <c:spPr>
              <a:solidFill>
                <a:srgbClr val="F79646"/>
              </a:solidFill>
              <a:ln w="19050">
                <a:solidFill>
                  <a:sysClr val="window" lastClr="FFFFFF"/>
                </a:solidFill>
              </a:ln>
              <a:effectLst/>
            </c:spPr>
          </c:dPt>
          <c:dPt>
            <c:idx val="1"/>
            <c:spPr>
              <a:solidFill>
                <a:srgbClr val="4BACC6"/>
              </a:solidFill>
              <a:ln w="19050">
                <a:solidFill>
                  <a:sysClr val="window" lastClr="FFFFFF"/>
                </a:solidFill>
              </a:ln>
              <a:effectLst/>
            </c:spPr>
          </c:dPt>
          <c:dPt>
            <c:idx val="2"/>
            <c:spPr>
              <a:solidFill>
                <a:srgbClr val="8064A2"/>
              </a:solidFill>
              <a:ln w="19050">
                <a:solidFill>
                  <a:sysClr val="window" lastClr="FFFFFF"/>
                </a:solidFill>
              </a:ln>
              <a:effectLst/>
            </c:spPr>
          </c:dPt>
          <c:dPt>
            <c:idx val="3"/>
            <c:spPr>
              <a:solidFill>
                <a:srgbClr val="F79646">
                  <a:lumMod val="60000"/>
                </a:srgbClr>
              </a:solidFill>
              <a:ln w="19050">
                <a:solidFill>
                  <a:sysClr val="window" lastClr="FFFFFF"/>
                </a:solidFill>
              </a:ln>
              <a:effectLst/>
            </c:spPr>
          </c:dPt>
          <c:dPt>
            <c:idx val="4"/>
            <c:spPr>
              <a:solidFill>
                <a:srgbClr val="4BACC6">
                  <a:lumMod val="60000"/>
                </a:srgbClr>
              </a:solidFill>
              <a:ln w="19050">
                <a:solidFill>
                  <a:sysClr val="window" lastClr="FFFFFF"/>
                </a:solidFill>
              </a:ln>
              <a:effectLst/>
            </c:spPr>
          </c:dPt>
          <c:dPt>
            <c:idx val="5"/>
            <c:spPr>
              <a:solidFill>
                <a:srgbClr val="8064A2">
                  <a:lumMod val="60000"/>
                </a:srgbClr>
              </a:solidFill>
              <a:ln w="19050">
                <a:solidFill>
                  <a:sysClr val="window" lastClr="FFFFFF"/>
                </a:solidFill>
              </a:ln>
              <a:effectLst/>
            </c:spPr>
          </c:dPt>
          <c:dPt>
            <c:idx val="6"/>
            <c:spPr>
              <a:solidFill>
                <a:srgbClr val="F79646">
                  <a:lumMod val="80000"/>
                  <a:lumOff val="20000"/>
                </a:srgbClr>
              </a:solidFill>
              <a:ln w="19050">
                <a:solidFill>
                  <a:sysClr val="window" lastClr="FFFFFF"/>
                </a:solidFill>
              </a:ln>
              <a:effectLst/>
            </c:spPr>
          </c:dPt>
          <c:dPt>
            <c:idx val="7"/>
            <c:spPr>
              <a:solidFill>
                <a:srgbClr val="4BACC6">
                  <a:lumMod val="80000"/>
                  <a:lumOff val="20000"/>
                </a:srgbClr>
              </a:solidFill>
              <a:ln w="19050">
                <a:solidFill>
                  <a:sysClr val="window" lastClr="FFFFFF"/>
                </a:solidFill>
              </a:ln>
              <a:effectLst/>
            </c:spPr>
          </c:dPt>
          <c:dPt>
            <c:idx val="8"/>
            <c:spPr>
              <a:solidFill>
                <a:srgbClr val="8064A2">
                  <a:lumMod val="80000"/>
                  <a:lumOff val="20000"/>
                </a:srgbClr>
              </a:solidFill>
              <a:ln w="19050">
                <a:solidFill>
                  <a:sysClr val="window" lastClr="FFFFFF"/>
                </a:solidFill>
              </a:ln>
              <a:effectLst/>
            </c:spPr>
          </c:dPt>
          <c:dLbls>
            <c:dLbl>
              <c:idx val="2"/>
              <c:layout>
                <c:manualLayout>
                  <c:x val="-2.9301644147810512E-2"/>
                  <c:y val="0.13387775303142804"/>
                </c:manualLayout>
              </c:layout>
              <c:dLblPos val="bestFit"/>
              <c:showLegendKey val="1"/>
              <c:showCatName val="1"/>
              <c:showPercent val="1"/>
              <c:separator>
</c:separator>
              <c:extLst>
                <c:ext xmlns:c15="http://schemas.microsoft.com/office/drawing/2012/chart" uri="{CE6537A1-D6FC-4f65-9D91-7224C49458BB}">
                  <c15:layout/>
                </c:ext>
              </c:extLst>
            </c:dLbl>
            <c:dLbl>
              <c:idx val="3"/>
              <c:layout>
                <c:manualLayout>
                  <c:x val="-0.17763294126234205"/>
                  <c:y val="0.12604098529280905"/>
                </c:manualLayout>
              </c:layout>
              <c:dLblPos val="bestFit"/>
              <c:showLegendKey val="1"/>
              <c:showCatName val="1"/>
              <c:showPercent val="1"/>
              <c:separator>
</c:separator>
              <c:extLst>
                <c:ext xmlns:c15="http://schemas.microsoft.com/office/drawing/2012/chart" uri="{CE6537A1-D6FC-4f65-9D91-7224C49458BB}">
                  <c15:layout/>
                </c:ext>
              </c:extLst>
            </c:dLbl>
            <c:dLbl>
              <c:idx val="4"/>
              <c:layout>
                <c:manualLayout>
                  <c:x val="-0.12791924644012712"/>
                  <c:y val="5.8369224827309517E-2"/>
                </c:manualLayout>
              </c:layout>
              <c:dLblPos val="bestFit"/>
              <c:showLegendKey val="1"/>
              <c:showCatName val="1"/>
              <c:showPercent val="1"/>
              <c:separator>
</c:separator>
              <c:extLst>
                <c:ext xmlns:c15="http://schemas.microsoft.com/office/drawing/2012/chart" uri="{CE6537A1-D6FC-4f65-9D91-7224C49458BB}">
                  <c15:layout/>
                </c:ext>
              </c:extLst>
            </c:dLbl>
            <c:dLbl>
              <c:idx val="5"/>
              <c:layout>
                <c:manualLayout>
                  <c:x val="-0.14649480542420107"/>
                  <c:y val="-0.14430274556426706"/>
                </c:manualLayout>
              </c:layout>
              <c:dLblPos val="bestFit"/>
              <c:showLegendKey val="1"/>
              <c:showCatName val="1"/>
              <c:showPercent val="1"/>
              <c:separator>
</c:separator>
              <c:extLst>
                <c:ext xmlns:c15="http://schemas.microsoft.com/office/drawing/2012/chart" uri="{CE6537A1-D6FC-4f65-9D91-7224C49458BB}">
                  <c15:layout/>
                </c:ext>
              </c:extLst>
            </c:dLbl>
            <c:dLbl>
              <c:idx val="6"/>
              <c:layout>
                <c:manualLayout>
                  <c:x val="1.25027488773509E-2"/>
                  <c:y val="-0.12503734802415101"/>
                </c:manualLayout>
              </c:layout>
              <c:dLblPos val="bestFit"/>
              <c:showLegendKey val="1"/>
              <c:showCatName val="1"/>
              <c:showPercent val="1"/>
              <c:separator>
</c:separator>
              <c:extLst>
                <c:ext xmlns:c15="http://schemas.microsoft.com/office/drawing/2012/chart" uri="{CE6537A1-D6FC-4f65-9D91-7224C49458BB}">
                  <c15:layout/>
                </c:ext>
              </c:extLst>
            </c:dLbl>
            <c:dLbl>
              <c:idx val="7"/>
              <c:layout>
                <c:manualLayout>
                  <c:x val="0.18155410796775201"/>
                  <c:y val="-0.10009407327607805"/>
                </c:manualLayout>
              </c:layout>
              <c:dLblPos val="bestFit"/>
              <c:showLegendKey val="1"/>
              <c:showCatName val="1"/>
              <c:showPercent val="1"/>
              <c:separator>
</c:separator>
              <c:extLst>
                <c:ext xmlns:c15="http://schemas.microsoft.com/office/drawing/2012/chart" uri="{CE6537A1-D6FC-4f65-9D91-7224C49458BB}">
                  <c15:layout/>
                </c:ext>
              </c:extLst>
            </c:dLbl>
            <c:dLbl>
              <c:idx val="8"/>
              <c:layout>
                <c:manualLayout>
                  <c:x val="0.18874172352608506"/>
                  <c:y val="8.8880110606359933E-2"/>
                </c:manualLayout>
              </c:layout>
              <c:dLblPos val="bestFit"/>
              <c:showLegendKey val="1"/>
              <c:showCatName val="1"/>
              <c:showPercent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lumMod val="75000"/>
                        <a:lumOff val="2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outEnd"/>
            <c:showLegendKey val="1"/>
            <c:showCatName val="1"/>
            <c:showPercent val="1"/>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[无废城市0715jl.xlsx]各单位反馈!$BP$45:$BP$53</c:f>
              <c:strCache>
                <c:ptCount val="9"/>
                <c:pt idx="0">
                  <c:v>废钢铁</c:v>
                </c:pt>
                <c:pt idx="1">
                  <c:v>废纸</c:v>
                </c:pt>
                <c:pt idx="2">
                  <c:v>废塑料</c:v>
                </c:pt>
                <c:pt idx="3">
                  <c:v>废玻璃</c:v>
                </c:pt>
                <c:pt idx="4">
                  <c:v>废弃电器电子产品</c:v>
                </c:pt>
                <c:pt idx="5">
                  <c:v>废橡胶（轮胎）</c:v>
                </c:pt>
                <c:pt idx="6">
                  <c:v>废金属</c:v>
                </c:pt>
                <c:pt idx="7">
                  <c:v>废旧纺织物</c:v>
                </c:pt>
                <c:pt idx="8">
                  <c:v>可回收一次性输液瓶（袋）</c:v>
                </c:pt>
              </c:strCache>
            </c:strRef>
          </c:cat>
          <c:val>
            <c:numRef>
              <c:f>[无废城市0715jl.xlsx]各单位反馈!$BY$45:$BY$53</c:f>
              <c:numCache>
                <c:formatCode>0.00_ </c:formatCode>
                <c:ptCount val="9"/>
                <c:pt idx="0">
                  <c:v>405.53899999999993</c:v>
                </c:pt>
                <c:pt idx="1">
                  <c:v>161.44840000000005</c:v>
                </c:pt>
                <c:pt idx="2">
                  <c:v>125.99932000000003</c:v>
                </c:pt>
                <c:pt idx="3">
                  <c:v>42</c:v>
                </c:pt>
                <c:pt idx="4">
                  <c:v>11.0138</c:v>
                </c:pt>
                <c:pt idx="5">
                  <c:v>9.9350000000000005</c:v>
                </c:pt>
                <c:pt idx="6">
                  <c:v>7.6993499999999999</c:v>
                </c:pt>
                <c:pt idx="7">
                  <c:v>3.8661999999999992</c:v>
                </c:pt>
                <c:pt idx="8">
                  <c:v>6.0000000000000019E-2</c:v>
                </c:pt>
              </c:numCache>
            </c:numRef>
          </c:val>
        </c:ser>
        <c:dLbls>
          <c:showCatName val="1"/>
          <c:showPercent val="1"/>
        </c:dLbls>
        <c:firstSliceAng val="0"/>
      </c:pieChart>
      <c:spPr>
        <a:noFill/>
        <a:ln>
          <a:noFill/>
        </a:ln>
        <a:effectLst/>
      </c:spPr>
    </c:plotArea>
    <c:plotVisOnly val="1"/>
    <c:dispBlanksAs val="zero"/>
  </c:chart>
  <c:spPr>
    <a:solidFill>
      <a:sysClr val="window" lastClr="FFFFFF"/>
    </a:solidFill>
    <a:ln w="9525" cap="flat" cmpd="sng" algn="ctr">
      <a:solidFill>
        <a:sysClr val="windowText" lastClr="000000"/>
      </a:solidFill>
      <a:round/>
    </a:ln>
    <a:effectLst/>
  </c:spPr>
  <c:txPr>
    <a:bodyPr/>
    <a:lstStyle/>
    <a:p>
      <a:pPr>
        <a:defRPr lang="zh-CN" sz="80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view3D>
      <c:rotX val="30"/>
      <c:depthPercent val="100"/>
      <c:perspective val="30"/>
    </c:view3D>
    <c:floor>
      <c:spPr>
        <a:noFill/>
        <a:effectLst/>
      </c:spPr>
    </c:floor>
    <c:sideWall>
      <c:spPr>
        <a:noFill/>
        <a:effectLst/>
      </c:spPr>
    </c:sideWall>
    <c:backWall>
      <c:spPr>
        <a:noFill/>
        <a:effectLst/>
      </c:spPr>
    </c:backWall>
    <c:plotArea>
      <c:layout>
        <c:manualLayout>
          <c:layoutTarget val="inner"/>
          <c:xMode val="edge"/>
          <c:yMode val="edge"/>
          <c:x val="5.584512285927031E-3"/>
          <c:y val="0.18047915144948506"/>
          <c:w val="0.99023596419853499"/>
          <c:h val="0.71294891249367764"/>
        </c:manualLayout>
      </c:layout>
      <c:pie3DChart>
        <c:varyColors val="1"/>
        <c:ser>
          <c:idx val="0"/>
          <c:order val="0"/>
          <c:tx>
            <c:strRef>
              <c:f>[无废城市0704jl.xlsx]各单位反馈!$AE$88</c:f>
              <c:strCache>
                <c:ptCount val="1"/>
                <c:pt idx="0">
                  <c:v>处置量</c:v>
                </c:pt>
              </c:strCache>
            </c:strRef>
          </c:tx>
          <c:spPr>
            <a:scene3d>
              <a:camera prst="orthographicFront"/>
              <a:lightRig rig="threePt" dir="t"/>
            </a:scene3d>
            <a:sp3d contourW="25400"/>
          </c:spPr>
          <c:dPt>
            <c:idx val="0"/>
            <c:spPr>
              <a:solidFill>
                <a:srgbClr val="ED7D31"/>
              </a:solidFill>
              <a:ln w="25400">
                <a:solidFill>
                  <a:sysClr val="window" lastClr="FFFFFF"/>
                </a:solidFill>
              </a:ln>
              <a:effectLst/>
              <a:scene3d>
                <a:camera prst="orthographicFront"/>
                <a:lightRig rig="threePt" dir="t"/>
              </a:scene3d>
              <a:sp3d contourW="25400"/>
            </c:spPr>
          </c:dPt>
          <c:dPt>
            <c:idx val="1"/>
            <c:spPr>
              <a:solidFill>
                <a:srgbClr val="FFC000"/>
              </a:solidFill>
              <a:ln w="25400">
                <a:solidFill>
                  <a:sysClr val="window" lastClr="FFFFFF"/>
                </a:solidFill>
              </a:ln>
              <a:effectLst/>
              <a:scene3d>
                <a:camera prst="orthographicFront"/>
                <a:lightRig rig="threePt" dir="t"/>
              </a:scene3d>
              <a:sp3d contourW="25400"/>
            </c:spPr>
          </c:dPt>
          <c:dPt>
            <c:idx val="2"/>
            <c:spPr>
              <a:solidFill>
                <a:srgbClr val="70AD47"/>
              </a:solidFill>
              <a:ln w="25400">
                <a:solidFill>
                  <a:sysClr val="window" lastClr="FFFFFF"/>
                </a:solidFill>
              </a:ln>
              <a:effectLst/>
              <a:scene3d>
                <a:camera prst="orthographicFront"/>
                <a:lightRig rig="threePt" dir="t"/>
              </a:scene3d>
              <a:sp3d contourW="25400"/>
            </c:spPr>
          </c:dPt>
          <c:dPt>
            <c:idx val="3"/>
            <c:spPr>
              <a:solidFill>
                <a:srgbClr val="ED7D31">
                  <a:lumMod val="60000"/>
                </a:srgbClr>
              </a:solidFill>
              <a:ln w="25400">
                <a:solidFill>
                  <a:sysClr val="window" lastClr="FFFFFF"/>
                </a:solidFill>
              </a:ln>
              <a:effectLst/>
              <a:scene3d>
                <a:camera prst="orthographicFront"/>
                <a:lightRig rig="threePt" dir="t"/>
              </a:scene3d>
              <a:sp3d contourW="25400"/>
            </c:spPr>
          </c:dPt>
          <c:dLbls>
            <c:dLbl>
              <c:idx val="1"/>
              <c:layout>
                <c:manualLayout>
                  <c:x val="-8.3319772172498016E-2"/>
                  <c:y val="9.8634294385432555E-3"/>
                </c:manualLayout>
              </c:layout>
              <c:dLblPos val="bestFit"/>
              <c:showLegendKey val="1"/>
              <c:showCatName val="1"/>
              <c:showPercent val="1"/>
              <c:separator>
</c:separator>
              <c:extLst>
                <c:ext xmlns:c15="http://schemas.microsoft.com/office/drawing/2012/chart" uri="{CE6537A1-D6FC-4f65-9D91-7224C49458BB}">
                  <c15:layout/>
                </c:ext>
              </c:extLst>
            </c:dLbl>
            <c:dLbl>
              <c:idx val="2"/>
              <c:layout>
                <c:manualLayout>
                  <c:x val="-5.2074857607811213E-2"/>
                  <c:y val="-1.2898330804248898E-2"/>
                </c:manualLayout>
              </c:layout>
              <c:dLblPos val="bestFit"/>
              <c:showLegendKey val="1"/>
              <c:showCatName val="1"/>
              <c:showPercent val="1"/>
              <c:separator>
</c:separator>
              <c:extLst>
                <c:ext xmlns:c15="http://schemas.microsoft.com/office/drawing/2012/chart" uri="{CE6537A1-D6FC-4f65-9D91-7224C49458BB}">
                  <c15:layout/>
                </c:ext>
              </c:extLst>
            </c:dLbl>
            <c:dLbl>
              <c:idx val="3"/>
              <c:layout>
                <c:manualLayout>
                  <c:x val="4.7681041497152202E-2"/>
                  <c:y val="-2.5796661608497702E-2"/>
                </c:manualLayout>
              </c:layout>
              <c:dLblPos val="bestFit"/>
              <c:showLegendKey val="1"/>
              <c:showCatName val="1"/>
              <c:showPercent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lumMod val="75000"/>
                        <a:lumOff val="2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outEnd"/>
            <c:showLegendKey val="1"/>
            <c:showCatName val="1"/>
            <c:showPercent val="1"/>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[无废城市0704jl.xlsx]各单位反馈!$AD$89:$AD$92</c:f>
              <c:strCache>
                <c:ptCount val="4"/>
                <c:pt idx="0">
                  <c:v>土地利用量</c:v>
                </c:pt>
                <c:pt idx="1">
                  <c:v>焚烧量</c:v>
                </c:pt>
                <c:pt idx="2">
                  <c:v>填埋量</c:v>
                </c:pt>
                <c:pt idx="3">
                  <c:v>做菌种量</c:v>
                </c:pt>
              </c:strCache>
            </c:strRef>
          </c:cat>
          <c:val>
            <c:numRef>
              <c:f>[无废城市0704jl.xlsx]各单位反馈!$AE$89:$AE$92</c:f>
              <c:numCache>
                <c:formatCode>General</c:formatCode>
                <c:ptCount val="4"/>
                <c:pt idx="0">
                  <c:v>44</c:v>
                </c:pt>
                <c:pt idx="1">
                  <c:v>3.48</c:v>
                </c:pt>
                <c:pt idx="2">
                  <c:v>2.79</c:v>
                </c:pt>
                <c:pt idx="3">
                  <c:v>0.05</c:v>
                </c:pt>
              </c:numCache>
            </c:numRef>
          </c:val>
        </c:ser>
        <c:dLbls>
          <c:showLegendKey val="1"/>
          <c:showCatName val="1"/>
          <c:showPercent val="1"/>
        </c:dLbls>
      </c:pie3DChart>
      <c:spPr>
        <a:noFill/>
        <a:ln>
          <a:noFill/>
        </a:ln>
        <a:effectLst/>
      </c:spPr>
    </c:plotArea>
    <c:plotVisOnly val="1"/>
    <c:dispBlanksAs val="zero"/>
  </c:chart>
  <c:spPr>
    <a:solidFill>
      <a:sysClr val="window" lastClr="FFFFFF"/>
    </a:solidFill>
    <a:ln w="9525" cap="flat" cmpd="sng" algn="ctr">
      <a:solidFill>
        <a:sysClr val="windowText" lastClr="000000">
          <a:lumMod val="75000"/>
          <a:lumOff val="25000"/>
        </a:sysClr>
      </a:solidFill>
      <a:prstDash val="solid"/>
      <a:round/>
    </a:ln>
    <a:effectLst/>
  </c:spPr>
  <c:txPr>
    <a:bodyPr/>
    <a:lstStyle/>
    <a:p>
      <a:pPr>
        <a:defRPr lang="zh-CN" sz="80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view3D>
      <c:rotX val="30"/>
      <c:depthPercent val="100"/>
      <c:perspective val="30"/>
    </c:view3D>
    <c:floor>
      <c:spPr>
        <a:noFill/>
        <a:effectLst/>
      </c:spPr>
    </c:floor>
    <c:sideWall>
      <c:spPr>
        <a:noFill/>
        <a:effectLst/>
      </c:spPr>
    </c:sideWall>
    <c:backWall>
      <c:spPr>
        <a:noFill/>
        <a:effectLst/>
      </c:spPr>
    </c:backWall>
    <c:plotArea>
      <c:layout>
        <c:manualLayout>
          <c:layoutTarget val="inner"/>
          <c:xMode val="edge"/>
          <c:yMode val="edge"/>
          <c:x val="8.0256671005799723E-2"/>
          <c:y val="0.14299988936341107"/>
          <c:w val="0.83954434499593178"/>
          <c:h val="0.75613458133063483"/>
        </c:manualLayout>
      </c:layout>
      <c:pie3DChart>
        <c:varyColors val="1"/>
        <c:ser>
          <c:idx val="0"/>
          <c:order val="0"/>
          <c:tx>
            <c:strRef>
              <c:f>[无废城市0704jl.xlsx]各单位反馈!$W$67</c:f>
              <c:strCache>
                <c:ptCount val="1"/>
                <c:pt idx="0">
                  <c:v>装修垃圾利用处置构成</c:v>
                </c:pt>
              </c:strCache>
            </c:strRef>
          </c:tx>
          <c:spPr>
            <a:scene3d>
              <a:camera prst="orthographicFront"/>
              <a:lightRig rig="threePt" dir="t"/>
            </a:scene3d>
            <a:sp3d contourW="25400"/>
          </c:spPr>
          <c:dPt>
            <c:idx val="0"/>
            <c:spPr>
              <a:solidFill>
                <a:srgbClr val="5B9BD5"/>
              </a:solidFill>
              <a:ln w="25400">
                <a:solidFill>
                  <a:sysClr val="window" lastClr="FFFFFF"/>
                </a:solidFill>
              </a:ln>
              <a:effectLst/>
              <a:scene3d>
                <a:camera prst="orthographicFront"/>
                <a:lightRig rig="threePt" dir="t"/>
              </a:scene3d>
              <a:sp3d contourW="25400"/>
            </c:spPr>
          </c:dPt>
          <c:dPt>
            <c:idx val="1"/>
            <c:spPr>
              <a:solidFill>
                <a:srgbClr val="ED7D31"/>
              </a:solidFill>
              <a:ln w="25400">
                <a:solidFill>
                  <a:sysClr val="window" lastClr="FFFFFF"/>
                </a:solidFill>
              </a:ln>
              <a:effectLst/>
              <a:scene3d>
                <a:camera prst="orthographicFront"/>
                <a:lightRig rig="threePt" dir="t"/>
              </a:scene3d>
              <a:sp3d contourW="25400"/>
            </c:spPr>
          </c:dPt>
          <c:dPt>
            <c:idx val="2"/>
            <c:spPr>
              <a:solidFill>
                <a:srgbClr val="A5A5A5"/>
              </a:solidFill>
              <a:ln w="25400">
                <a:solidFill>
                  <a:sysClr val="window" lastClr="FFFFFF"/>
                </a:solidFill>
              </a:ln>
              <a:effectLst/>
              <a:scene3d>
                <a:camera prst="orthographicFront"/>
                <a:lightRig rig="threePt" dir="t"/>
              </a:scene3d>
              <a:sp3d contourW="25400"/>
            </c:spPr>
          </c:dPt>
          <c:dLbls>
            <c:dLbl>
              <c:idx val="0"/>
              <c:layout>
                <c:manualLayout>
                  <c:x val="-4.0683482506102516E-3"/>
                  <c:y val="-5.5147988869213301E-2"/>
                </c:manualLayout>
              </c:layout>
              <c:dLblPos val="bestFit"/>
              <c:showLegendKey val="1"/>
              <c:showCatName val="1"/>
              <c:showPercent val="1"/>
              <c:separator>
</c:separator>
              <c:extLst>
                <c:ext xmlns:c15="http://schemas.microsoft.com/office/drawing/2012/chart" uri="{CE6537A1-D6FC-4f65-9D91-7224C49458BB}">
                  <c15:layout>
                    <c:manualLayout>
                      <c:w val="0.257438567941416"/>
                      <c:h val="0.201619023526436"/>
                    </c:manualLayout>
                  </c15:layout>
                </c:ext>
              </c:extLst>
            </c:dLbl>
            <c:dLbl>
              <c:idx val="2"/>
              <c:layout>
                <c:manualLayout>
                  <c:x val="-2.1155410903173312E-3"/>
                  <c:y val="-3.5416139640779221E-2"/>
                </c:manualLayout>
              </c:layout>
              <c:dLblPos val="bestFit"/>
              <c:showLegendKey val="1"/>
              <c:showCatName val="1"/>
              <c:showPercent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lumMod val="75000"/>
                        <a:lumOff val="25000"/>
                      </a:sys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outEnd"/>
            <c:showLegendKey val="1"/>
            <c:showCatName val="1"/>
            <c:showPercent val="1"/>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[无废城市0704jl.xlsx]各单位反馈!$V$68:$V$70</c:f>
              <c:strCache>
                <c:ptCount val="3"/>
                <c:pt idx="0">
                  <c:v>资源化利用量</c:v>
                </c:pt>
                <c:pt idx="1">
                  <c:v>堆填处置量</c:v>
                </c:pt>
                <c:pt idx="2">
                  <c:v>填埋处置量</c:v>
                </c:pt>
              </c:strCache>
            </c:strRef>
          </c:cat>
          <c:val>
            <c:numRef>
              <c:f>[无废城市0704jl.xlsx]各单位反馈!$W$68:$W$70</c:f>
              <c:numCache>
                <c:formatCode>General</c:formatCode>
                <c:ptCount val="3"/>
                <c:pt idx="0">
                  <c:v>30.82</c:v>
                </c:pt>
                <c:pt idx="1">
                  <c:v>19.16</c:v>
                </c:pt>
                <c:pt idx="2">
                  <c:v>23.69</c:v>
                </c:pt>
              </c:numCache>
            </c:numRef>
          </c:val>
        </c:ser>
        <c:dLbls>
          <c:showLegendKey val="1"/>
          <c:showCatName val="1"/>
          <c:showPercent val="1"/>
        </c:dLbls>
      </c:pie3DChart>
      <c:spPr>
        <a:noFill/>
        <a:ln>
          <a:noFill/>
        </a:ln>
        <a:effectLst/>
      </c:spPr>
    </c:plotArea>
    <c:plotVisOnly val="1"/>
    <c:dispBlanksAs val="zero"/>
  </c:chart>
  <c:spPr>
    <a:solidFill>
      <a:sysClr val="window" lastClr="FFFFFF"/>
    </a:solidFill>
    <a:ln w="9525" cap="flat" cmpd="sng" algn="ctr">
      <a:solidFill>
        <a:sysClr val="windowText" lastClr="000000">
          <a:lumMod val="75000"/>
          <a:lumOff val="25000"/>
        </a:sysClr>
      </a:solidFill>
      <a:prstDash val="solid"/>
      <a:round/>
    </a:ln>
    <a:effectLst/>
  </c:spPr>
  <c:txPr>
    <a:bodyPr/>
    <a:lstStyle/>
    <a:p>
      <a:pPr>
        <a:defRPr lang="zh-CN" sz="80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6074750549636"/>
          <c:y val="0.14625000000000005"/>
          <c:w val="0.70032132589210183"/>
          <c:h val="0.73100000000000021"/>
        </c:manualLayout>
      </c:layout>
      <c:doughnut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dPt>
          <c:dLbls>
            <c:dLbl>
              <c:idx val="0"/>
              <c:layout>
                <c:manualLayout>
                  <c:x val="0.11956705564011502"/>
                  <c:y val="-2.1250000000000008E-2"/>
                </c:manualLayout>
              </c:layout>
              <c:showLegendKey val="1"/>
              <c:showCatName val="1"/>
              <c:showPercent val="1"/>
              <c:separator>
</c:separator>
              <c:extLst>
                <c:ext xmlns:c15="http://schemas.microsoft.com/office/drawing/2012/chart" uri="{CE6537A1-D6FC-4f65-9D91-7224C49458BB}">
                  <c15:layout/>
                </c:ext>
              </c:extLst>
            </c:dLbl>
            <c:dLbl>
              <c:idx val="1"/>
              <c:layout>
                <c:manualLayout>
                  <c:x val="0.11804498562489397"/>
                  <c:y val="8.025000000000003E-2"/>
                </c:manualLayout>
              </c:layout>
              <c:showLegendKey val="1"/>
              <c:showCatName val="1"/>
              <c:showPercent val="1"/>
              <c:separator>
</c:separator>
              <c:extLst>
                <c:ext xmlns:c15="http://schemas.microsoft.com/office/drawing/2012/chart" uri="{CE6537A1-D6FC-4f65-9D91-7224C49458BB}">
                  <c15:layout/>
                </c:ext>
              </c:extLst>
            </c:dLbl>
            <c:dLbl>
              <c:idx val="2"/>
              <c:layout>
                <c:manualLayout>
                  <c:x val="-0.116522915609674"/>
                  <c:y val="9.4250000000000042E-2"/>
                </c:manualLayout>
              </c:layout>
              <c:showLegendKey val="1"/>
              <c:showCatName val="1"/>
              <c:showPercent val="1"/>
              <c:separator>
</c:separator>
              <c:extLst>
                <c:ext xmlns:c15="http://schemas.microsoft.com/office/drawing/2012/chart" uri="{CE6537A1-D6FC-4f65-9D91-7224C49458BB}">
                  <c15:layout/>
                </c:ext>
              </c:extLst>
            </c:dLbl>
            <c:dLbl>
              <c:idx val="3"/>
              <c:layout>
                <c:manualLayout>
                  <c:x val="-0.1484863859293081"/>
                  <c:y val="1.8750000000000003E-2"/>
                </c:manualLayout>
              </c:layout>
              <c:showLegendKey val="1"/>
              <c:showCatName val="1"/>
              <c:showPercent val="1"/>
              <c:separator>
</c:separator>
              <c:extLst>
                <c:ext xmlns:c15="http://schemas.microsoft.com/office/drawing/2012/chart" uri="{CE6537A1-D6FC-4f65-9D91-7224C49458BB}">
                  <c15:layout/>
                </c:ext>
              </c:extLst>
            </c:dLbl>
            <c:dLbl>
              <c:idx val="4"/>
              <c:layout>
                <c:manualLayout>
                  <c:x val="-0.14679519702350804"/>
                  <c:y val="-1.4000000000000002E-2"/>
                </c:manualLayout>
              </c:layout>
              <c:showLegendKey val="1"/>
              <c:showCatName val="1"/>
              <c:showPercent val="1"/>
              <c:separator>
</c:separator>
              <c:extLst>
                <c:ext xmlns:c15="http://schemas.microsoft.com/office/drawing/2012/chart" uri="{CE6537A1-D6FC-4f65-9D91-7224C49458BB}">
                  <c15:layout/>
                </c:ext>
              </c:extLst>
            </c:dLbl>
            <c:dLbl>
              <c:idx val="5"/>
              <c:layout>
                <c:manualLayout>
                  <c:x val="-0.111787586673431"/>
                  <c:y val="-0.10125000000000002"/>
                </c:manualLayout>
              </c:layout>
              <c:showLegendKey val="1"/>
              <c:showCatName val="1"/>
              <c:showPercent val="1"/>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2"/>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showLegendKey val="1"/>
            <c:showCatName val="1"/>
            <c:showPercent val="1"/>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[无废城市0906jl.xlsx]Sheet1!$B$18:$B$23</c:f>
              <c:strCache>
                <c:ptCount val="6"/>
                <c:pt idx="0">
                  <c:v>HW49</c:v>
                </c:pt>
                <c:pt idx="1">
                  <c:v>HW12</c:v>
                </c:pt>
                <c:pt idx="2">
                  <c:v>HW09</c:v>
                </c:pt>
                <c:pt idx="3">
                  <c:v>HW17</c:v>
                </c:pt>
                <c:pt idx="4">
                  <c:v>HW06</c:v>
                </c:pt>
                <c:pt idx="5">
                  <c:v>其他</c:v>
                </c:pt>
              </c:strCache>
            </c:strRef>
          </c:cat>
          <c:val>
            <c:numRef>
              <c:f>[无废城市0906jl.xlsx]Sheet1!$C$18:$C$23</c:f>
              <c:numCache>
                <c:formatCode>0.00%</c:formatCode>
                <c:ptCount val="6"/>
                <c:pt idx="0">
                  <c:v>0.33300000000000013</c:v>
                </c:pt>
                <c:pt idx="1">
                  <c:v>0.21800000000000005</c:v>
                </c:pt>
                <c:pt idx="2">
                  <c:v>0.12400000000000003</c:v>
                </c:pt>
                <c:pt idx="3">
                  <c:v>8.8000000000000037E-2</c:v>
                </c:pt>
                <c:pt idx="4">
                  <c:v>7.6000000000000012E-2</c:v>
                </c:pt>
                <c:pt idx="5" formatCode="0.0%">
                  <c:v>0.161</c:v>
                </c:pt>
              </c:numCache>
            </c:numRef>
          </c:val>
        </c:ser>
        <c:dLbls>
          <c:showLegendKey val="1"/>
          <c:showCatName val="1"/>
          <c:showPercent val="1"/>
        </c:dLbls>
        <c:firstSliceAng val="0"/>
        <c:holeSize val="75"/>
      </c:doughnutChart>
      <c:spPr>
        <a:noFill/>
        <a:ln>
          <a:noFill/>
        </a:ln>
        <a:effectLst/>
      </c:spPr>
    </c:plotArea>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lang="zh-CN" sz="80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ague Gothic">
    <a:majorFont>
      <a:latin typeface="League Gothic"/>
      <a:ea typeface=""/>
      <a:cs typeface=""/>
    </a:majorFont>
    <a:minorFont>
      <a:latin typeface="League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ague Gothic">
    <a:majorFont>
      <a:latin typeface="League Gothic"/>
      <a:ea typeface=""/>
      <a:cs typeface=""/>
    </a:majorFont>
    <a:minorFont>
      <a:latin typeface="League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ague Gothic">
    <a:majorFont>
      <a:latin typeface="League Gothic"/>
      <a:ea typeface=""/>
      <a:cs typeface=""/>
    </a:majorFont>
    <a:minorFont>
      <a:latin typeface="League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ague Gothic">
    <a:majorFont>
      <a:latin typeface="League Gothic"/>
      <a:ea typeface=""/>
      <a:cs typeface=""/>
    </a:majorFont>
    <a:minorFont>
      <a:latin typeface="League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ague Gothic">
    <a:majorFont>
      <a:latin typeface="League Gothic"/>
      <a:ea typeface=""/>
      <a:cs typeface=""/>
    </a:majorFont>
    <a:minorFont>
      <a:latin typeface="League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ague Gothic">
    <a:majorFont>
      <a:latin typeface="League Gothic"/>
      <a:ea typeface=""/>
      <a:cs typeface=""/>
    </a:majorFont>
    <a:minorFont>
      <a:latin typeface="League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ague Gothic">
    <a:majorFont>
      <a:latin typeface="League Gothic"/>
      <a:ea typeface=""/>
      <a:cs typeface=""/>
    </a:majorFont>
    <a:minorFont>
      <a:latin typeface="League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526CA-16E2-4A72-98D2-B9EC1E5C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102</Pages>
  <Words>8654</Words>
  <Characters>49330</Characters>
  <Application>Microsoft Office Word</Application>
  <DocSecurity>0</DocSecurity>
  <Lines>411</Lines>
  <Paragraphs>115</Paragraphs>
  <ScaleCrop>false</ScaleCrop>
  <Company/>
  <LinksUpToDate>false</LinksUpToDate>
  <CharactersWithSpaces>57869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fuchaochen</cp:lastModifiedBy>
  <cp:revision>48</cp:revision>
  <dcterms:created xsi:type="dcterms:W3CDTF">2022-09-02T01:18:00Z</dcterms:created>
  <dcterms:modified xsi:type="dcterms:W3CDTF">2022-10-10T08:56:00Z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BF8B270E71334FCFBCFC0F89A1EFB455</vt:lpwstr>
  </property>
</Properties>
</file>