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2950D417"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94482E">
        <w:rPr>
          <w:rFonts w:ascii="仿宋_GB2312" w:eastAsia="仿宋_GB2312" w:hAnsi="仿宋_GB2312" w:cs="仿宋_GB2312"/>
          <w:sz w:val="32"/>
          <w:szCs w:val="32"/>
        </w:rPr>
        <w:t>5</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297A0409" w:rsidR="00840A8F" w:rsidRPr="00924D1C" w:rsidRDefault="0094482E" w:rsidP="00924D1C">
      <w:pPr>
        <w:adjustRightInd w:val="0"/>
        <w:snapToGrid w:val="0"/>
        <w:jc w:val="center"/>
        <w:rPr>
          <w:rFonts w:ascii="方正小标宋简体" w:eastAsia="方正小标宋简体" w:hAnsi="方正小标宋简体" w:cs="方正小标宋简体"/>
          <w:sz w:val="44"/>
          <w:szCs w:val="44"/>
        </w:rPr>
      </w:pPr>
      <w:r w:rsidRPr="0094482E">
        <w:rPr>
          <w:rFonts w:ascii="方正小标宋简体" w:eastAsia="方正小标宋简体" w:hAnsi="方正小标宋简体" w:cs="方正小标宋简体" w:hint="eastAsia"/>
          <w:sz w:val="44"/>
          <w:szCs w:val="44"/>
        </w:rPr>
        <w:t>关于吉林长春大</w:t>
      </w:r>
      <w:proofErr w:type="gramStart"/>
      <w:r w:rsidRPr="0094482E">
        <w:rPr>
          <w:rFonts w:ascii="方正小标宋简体" w:eastAsia="方正小标宋简体" w:hAnsi="方正小标宋简体" w:cs="方正小标宋简体" w:hint="eastAsia"/>
          <w:sz w:val="44"/>
          <w:szCs w:val="44"/>
        </w:rPr>
        <w:t>唐二热</w:t>
      </w:r>
      <w:proofErr w:type="gramEnd"/>
      <w:r w:rsidRPr="0094482E">
        <w:rPr>
          <w:rFonts w:ascii="方正小标宋简体" w:eastAsia="方正小标宋简体" w:hAnsi="方正小标宋简体" w:cs="方正小标宋简体" w:hint="eastAsia"/>
          <w:sz w:val="44"/>
          <w:szCs w:val="44"/>
        </w:rPr>
        <w:t>“退城进郊”电厂220kV送出工程环境影响报告表的批复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461CDEEA" w:rsidR="00840A8F" w:rsidRDefault="00187EBF" w:rsidP="00926E6C">
      <w:pPr>
        <w:rPr>
          <w:rFonts w:ascii="仿宋_GB2312" w:eastAsia="仿宋_GB2312" w:hAnsi="仿宋_GB2312" w:cs="仿宋_GB2312"/>
          <w:sz w:val="32"/>
          <w:szCs w:val="32"/>
        </w:rPr>
      </w:pPr>
      <w:proofErr w:type="gramStart"/>
      <w:r w:rsidRPr="00187EBF">
        <w:rPr>
          <w:rFonts w:ascii="仿宋_GB2312" w:eastAsia="仿宋_GB2312" w:hAnsi="仿宋_GB2312" w:cs="仿宋_GB2312" w:hint="eastAsia"/>
          <w:sz w:val="32"/>
          <w:szCs w:val="32"/>
        </w:rPr>
        <w:t>国网吉林省电力有限公司长春供电公司</w:t>
      </w:r>
      <w:proofErr w:type="gramEnd"/>
      <w:r w:rsidR="000A1460">
        <w:rPr>
          <w:rFonts w:ascii="仿宋_GB2312" w:eastAsia="仿宋_GB2312" w:hAnsi="仿宋_GB2312" w:cs="仿宋_GB2312" w:hint="eastAsia"/>
          <w:sz w:val="32"/>
          <w:szCs w:val="32"/>
        </w:rPr>
        <w:t>：</w:t>
      </w:r>
    </w:p>
    <w:p w14:paraId="07EE0F07" w14:textId="49AB1696" w:rsidR="00605890" w:rsidRPr="00605890" w:rsidRDefault="00187EBF" w:rsidP="00605890">
      <w:pPr>
        <w:ind w:firstLineChars="200" w:firstLine="640"/>
        <w:rPr>
          <w:rFonts w:ascii="仿宋_GB2312" w:eastAsia="仿宋_GB2312" w:hAnsi="仿宋_GB2312" w:cs="仿宋_GB2312"/>
          <w:sz w:val="32"/>
          <w:szCs w:val="32"/>
        </w:rPr>
      </w:pPr>
      <w:r w:rsidRPr="00187EBF">
        <w:rPr>
          <w:rFonts w:ascii="仿宋_GB2312" w:eastAsia="仿宋_GB2312" w:hAnsi="仿宋_GB2312" w:cs="仿宋_GB2312" w:hint="eastAsia"/>
          <w:sz w:val="32"/>
          <w:szCs w:val="32"/>
        </w:rPr>
        <w:t>你单位报送的《吉林长春大唐二热“退城进郊”电厂220kV送出工程环境影响报告表审批的申请》及相关材料收悉。根据环境影响报告表的评价结论和长春市环境工程评估中心的评估意见，经研究，批复如下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2E7AFA0E" w:rsidR="00924D1C" w:rsidRPr="00924D1C" w:rsidRDefault="00187EBF" w:rsidP="00924D1C">
      <w:pPr>
        <w:ind w:firstLineChars="200" w:firstLine="640"/>
        <w:rPr>
          <w:rFonts w:ascii="仿宋_GB2312" w:eastAsia="仿宋_GB2312" w:hAnsi="仿宋_GB2312" w:cs="仿宋_GB2312"/>
          <w:sz w:val="32"/>
          <w:szCs w:val="32"/>
        </w:rPr>
      </w:pPr>
      <w:r w:rsidRPr="00187EBF">
        <w:rPr>
          <w:rFonts w:ascii="仿宋_GB2312" w:eastAsia="仿宋_GB2312" w:hAnsi="仿宋_GB2312" w:cs="仿宋_GB2312" w:hint="eastAsia"/>
          <w:sz w:val="32"/>
          <w:szCs w:val="32"/>
        </w:rPr>
        <w:t>一、项目建设地点位于吉林省长春市九台区、中韩（长春）国际合作示范区、长春新区、德惠市。主要建设内容为</w:t>
      </w:r>
      <w:proofErr w:type="gramStart"/>
      <w:r w:rsidRPr="00187EBF">
        <w:rPr>
          <w:rFonts w:ascii="仿宋_GB2312" w:eastAsia="仿宋_GB2312" w:hAnsi="仿宋_GB2312" w:cs="仿宋_GB2312" w:hint="eastAsia"/>
          <w:sz w:val="32"/>
          <w:szCs w:val="32"/>
        </w:rPr>
        <w:t>扩建龙嘉</w:t>
      </w:r>
      <w:proofErr w:type="gramEnd"/>
      <w:r w:rsidRPr="00187EBF">
        <w:rPr>
          <w:rFonts w:ascii="仿宋_GB2312" w:eastAsia="仿宋_GB2312" w:hAnsi="仿宋_GB2312" w:cs="仿宋_GB2312" w:hint="eastAsia"/>
          <w:sz w:val="32"/>
          <w:szCs w:val="32"/>
        </w:rPr>
        <w:t>500kV变电站2回220kV出线间隔（220kV侧第3、4号间隔）,间隔内设备新增；新建一条同塔双回220千伏架空输电线路（大</w:t>
      </w:r>
      <w:proofErr w:type="gramStart"/>
      <w:r w:rsidRPr="00187EBF">
        <w:rPr>
          <w:rFonts w:ascii="仿宋_GB2312" w:eastAsia="仿宋_GB2312" w:hAnsi="仿宋_GB2312" w:cs="仿宋_GB2312" w:hint="eastAsia"/>
          <w:sz w:val="32"/>
          <w:szCs w:val="32"/>
        </w:rPr>
        <w:t>唐二热</w:t>
      </w:r>
      <w:proofErr w:type="gramEnd"/>
      <w:r w:rsidRPr="00187EBF">
        <w:rPr>
          <w:rFonts w:ascii="仿宋_GB2312" w:eastAsia="仿宋_GB2312" w:hAnsi="仿宋_GB2312" w:cs="仿宋_GB2312" w:hint="eastAsia"/>
          <w:sz w:val="32"/>
          <w:szCs w:val="32"/>
        </w:rPr>
        <w:t>变电站-升阳500kV变电站），线路起自大</w:t>
      </w:r>
      <w:proofErr w:type="gramStart"/>
      <w:r w:rsidRPr="00187EBF">
        <w:rPr>
          <w:rFonts w:ascii="仿宋_GB2312" w:eastAsia="仿宋_GB2312" w:hAnsi="仿宋_GB2312" w:cs="仿宋_GB2312" w:hint="eastAsia"/>
          <w:sz w:val="32"/>
          <w:szCs w:val="32"/>
        </w:rPr>
        <w:t>唐二热</w:t>
      </w:r>
      <w:proofErr w:type="gramEnd"/>
      <w:r w:rsidRPr="00187EBF">
        <w:rPr>
          <w:rFonts w:ascii="仿宋_GB2312" w:eastAsia="仿宋_GB2312" w:hAnsi="仿宋_GB2312" w:cs="仿宋_GB2312" w:hint="eastAsia"/>
          <w:sz w:val="32"/>
          <w:szCs w:val="32"/>
        </w:rPr>
        <w:t>变电站，止于升阳500kV变电站，新建线路长约35.6千米，导线采用JL3/G1A-630/45型高导电率钢芯铝绞线，新建97基铁塔；新建</w:t>
      </w:r>
      <w:r w:rsidRPr="00187EBF">
        <w:rPr>
          <w:rFonts w:ascii="仿宋_GB2312" w:eastAsia="仿宋_GB2312" w:hAnsi="仿宋_GB2312" w:cs="仿宋_GB2312" w:hint="eastAsia"/>
          <w:sz w:val="32"/>
          <w:szCs w:val="32"/>
        </w:rPr>
        <w:lastRenderedPageBreak/>
        <w:t>一条同塔双回220千伏架空输电线路（大</w:t>
      </w:r>
      <w:proofErr w:type="gramStart"/>
      <w:r w:rsidRPr="00187EBF">
        <w:rPr>
          <w:rFonts w:ascii="仿宋_GB2312" w:eastAsia="仿宋_GB2312" w:hAnsi="仿宋_GB2312" w:cs="仿宋_GB2312" w:hint="eastAsia"/>
          <w:sz w:val="32"/>
          <w:szCs w:val="32"/>
        </w:rPr>
        <w:t>唐二热</w:t>
      </w:r>
      <w:proofErr w:type="gramEnd"/>
      <w:r w:rsidRPr="00187EBF">
        <w:rPr>
          <w:rFonts w:ascii="仿宋_GB2312" w:eastAsia="仿宋_GB2312" w:hAnsi="仿宋_GB2312" w:cs="仿宋_GB2312" w:hint="eastAsia"/>
          <w:sz w:val="32"/>
          <w:szCs w:val="32"/>
        </w:rPr>
        <w:t>变电站-</w:t>
      </w:r>
      <w:proofErr w:type="gramStart"/>
      <w:r w:rsidRPr="00187EBF">
        <w:rPr>
          <w:rFonts w:ascii="仿宋_GB2312" w:eastAsia="仿宋_GB2312" w:hAnsi="仿宋_GB2312" w:cs="仿宋_GB2312" w:hint="eastAsia"/>
          <w:sz w:val="32"/>
          <w:szCs w:val="32"/>
        </w:rPr>
        <w:t>龙嘉</w:t>
      </w:r>
      <w:proofErr w:type="gramEnd"/>
      <w:r w:rsidRPr="00187EBF">
        <w:rPr>
          <w:rFonts w:ascii="仿宋_GB2312" w:eastAsia="仿宋_GB2312" w:hAnsi="仿宋_GB2312" w:cs="仿宋_GB2312" w:hint="eastAsia"/>
          <w:sz w:val="32"/>
          <w:szCs w:val="32"/>
        </w:rPr>
        <w:t>500kV变电站），其中有6</w:t>
      </w:r>
      <w:proofErr w:type="gramStart"/>
      <w:r w:rsidRPr="00187EBF">
        <w:rPr>
          <w:rFonts w:ascii="仿宋_GB2312" w:eastAsia="仿宋_GB2312" w:hAnsi="仿宋_GB2312" w:cs="仿宋_GB2312" w:hint="eastAsia"/>
          <w:sz w:val="32"/>
          <w:szCs w:val="32"/>
        </w:rPr>
        <w:t>基塔钻越</w:t>
      </w:r>
      <w:proofErr w:type="gramEnd"/>
      <w:r w:rsidRPr="00187EBF">
        <w:rPr>
          <w:rFonts w:ascii="仿宋_GB2312" w:eastAsia="仿宋_GB2312" w:hAnsi="仿宋_GB2312" w:cs="仿宋_GB2312" w:hint="eastAsia"/>
          <w:sz w:val="32"/>
          <w:szCs w:val="32"/>
        </w:rPr>
        <w:t>500kV输电线路，改为单回路架设，线路起自大</w:t>
      </w:r>
      <w:proofErr w:type="gramStart"/>
      <w:r w:rsidRPr="00187EBF">
        <w:rPr>
          <w:rFonts w:ascii="仿宋_GB2312" w:eastAsia="仿宋_GB2312" w:hAnsi="仿宋_GB2312" w:cs="仿宋_GB2312" w:hint="eastAsia"/>
          <w:sz w:val="32"/>
          <w:szCs w:val="32"/>
        </w:rPr>
        <w:t>唐二热</w:t>
      </w:r>
      <w:proofErr w:type="gramEnd"/>
      <w:r w:rsidRPr="00187EBF">
        <w:rPr>
          <w:rFonts w:ascii="仿宋_GB2312" w:eastAsia="仿宋_GB2312" w:hAnsi="仿宋_GB2312" w:cs="仿宋_GB2312" w:hint="eastAsia"/>
          <w:sz w:val="32"/>
          <w:szCs w:val="32"/>
        </w:rPr>
        <w:t>变电站,止</w:t>
      </w:r>
      <w:proofErr w:type="gramStart"/>
      <w:r w:rsidRPr="00187EBF">
        <w:rPr>
          <w:rFonts w:ascii="仿宋_GB2312" w:eastAsia="仿宋_GB2312" w:hAnsi="仿宋_GB2312" w:cs="仿宋_GB2312" w:hint="eastAsia"/>
          <w:sz w:val="32"/>
          <w:szCs w:val="32"/>
        </w:rPr>
        <w:t>于龙嘉</w:t>
      </w:r>
      <w:proofErr w:type="gramEnd"/>
      <w:r w:rsidRPr="00187EBF">
        <w:rPr>
          <w:rFonts w:ascii="仿宋_GB2312" w:eastAsia="仿宋_GB2312" w:hAnsi="仿宋_GB2312" w:cs="仿宋_GB2312" w:hint="eastAsia"/>
          <w:sz w:val="32"/>
          <w:szCs w:val="32"/>
        </w:rPr>
        <w:t>500kV变电站，新建线路长约19.2千米，导线采用JL3/G1A-630/45型高导电率钢芯铝绞线，新建38基铁塔、38基钢管杆。项目总投资19053万元，其中环保投资88.49万元。</w:t>
      </w:r>
    </w:p>
    <w:p w14:paraId="2B296609" w14:textId="77777777" w:rsidR="00187EBF" w:rsidRPr="00187EBF" w:rsidRDefault="00187EBF" w:rsidP="00187EBF">
      <w:pPr>
        <w:ind w:firstLineChars="200" w:firstLine="640"/>
        <w:rPr>
          <w:rFonts w:ascii="仿宋_GB2312" w:eastAsia="仿宋_GB2312" w:hAnsi="仿宋_GB2312" w:cs="仿宋_GB2312" w:hint="eastAsia"/>
          <w:sz w:val="32"/>
          <w:szCs w:val="32"/>
        </w:rPr>
      </w:pPr>
      <w:r w:rsidRPr="00187EBF">
        <w:rPr>
          <w:rFonts w:ascii="仿宋_GB2312" w:eastAsia="仿宋_GB2312" w:hAnsi="仿宋_GB2312" w:cs="仿宋_GB2312" w:hint="eastAsia"/>
          <w:sz w:val="32"/>
          <w:szCs w:val="32"/>
        </w:rPr>
        <w:t>二、该项目通过专家评审，经审查认为吉林省泽盛科技有限公司编制的环境影响报告</w:t>
      </w:r>
      <w:proofErr w:type="gramStart"/>
      <w:r w:rsidRPr="00187EBF">
        <w:rPr>
          <w:rFonts w:ascii="仿宋_GB2312" w:eastAsia="仿宋_GB2312" w:hAnsi="仿宋_GB2312" w:cs="仿宋_GB2312" w:hint="eastAsia"/>
          <w:sz w:val="32"/>
          <w:szCs w:val="32"/>
        </w:rPr>
        <w:t>表符合</w:t>
      </w:r>
      <w:proofErr w:type="gramEnd"/>
      <w:r w:rsidRPr="00187EBF">
        <w:rPr>
          <w:rFonts w:ascii="仿宋_GB2312" w:eastAsia="仿宋_GB2312" w:hAnsi="仿宋_GB2312" w:cs="仿宋_GB2312" w:hint="eastAsia"/>
          <w:sz w:val="32"/>
          <w:szCs w:val="32"/>
        </w:rPr>
        <w:t>有关技术要求，评价结论可信。鉴于相关部门已同意该项目</w:t>
      </w:r>
      <w:proofErr w:type="gramStart"/>
      <w:r w:rsidRPr="00187EBF">
        <w:rPr>
          <w:rFonts w:ascii="仿宋_GB2312" w:eastAsia="仿宋_GB2312" w:hAnsi="仿宋_GB2312" w:cs="仿宋_GB2312" w:hint="eastAsia"/>
          <w:sz w:val="32"/>
          <w:szCs w:val="32"/>
        </w:rPr>
        <w:t>送出线</w:t>
      </w:r>
      <w:proofErr w:type="gramEnd"/>
      <w:r w:rsidRPr="00187EBF">
        <w:rPr>
          <w:rFonts w:ascii="仿宋_GB2312" w:eastAsia="仿宋_GB2312" w:hAnsi="仿宋_GB2312" w:cs="仿宋_GB2312" w:hint="eastAsia"/>
          <w:sz w:val="32"/>
          <w:szCs w:val="32"/>
        </w:rPr>
        <w:t>路径选址，我局原则同意该项目环境影响报告表结论及所提出的环境保护措施。项目在落实《报告表》提出的各项环境保护措施和下列工作要求后，可以满足国家环境保护相关法规和标准的要求。</w:t>
      </w:r>
    </w:p>
    <w:p w14:paraId="0188490E" w14:textId="6E3C2070" w:rsidR="00C4362E" w:rsidRPr="00C4362E" w:rsidRDefault="00187EBF" w:rsidP="00187EBF">
      <w:pPr>
        <w:ind w:firstLineChars="200" w:firstLine="640"/>
        <w:rPr>
          <w:rFonts w:ascii="仿宋_GB2312" w:eastAsia="仿宋_GB2312" w:hAnsi="仿宋_GB2312" w:cs="仿宋_GB2312"/>
          <w:sz w:val="32"/>
          <w:szCs w:val="32"/>
        </w:rPr>
      </w:pPr>
      <w:r w:rsidRPr="00187EBF">
        <w:rPr>
          <w:rFonts w:ascii="仿宋_GB2312" w:eastAsia="仿宋_GB2312" w:hAnsi="仿宋_GB2312" w:cs="仿宋_GB2312" w:hint="eastAsia"/>
          <w:sz w:val="32"/>
          <w:szCs w:val="32"/>
        </w:rPr>
        <w:t>项目建设要严格遵守国家、地方相关法律法规及电力、自然资源和规划、林草、水务、农业农村、交通等各相关行政管理部门的要求，特别是涉及永久基本农田等敏感区域的，应依法办理相关手续。</w:t>
      </w:r>
    </w:p>
    <w:p w14:paraId="07AD03D2" w14:textId="77777777" w:rsidR="00187EBF" w:rsidRPr="00187EBF" w:rsidRDefault="00187EBF" w:rsidP="00187EBF">
      <w:pPr>
        <w:ind w:firstLineChars="200" w:firstLine="640"/>
        <w:rPr>
          <w:rFonts w:ascii="仿宋_GB2312" w:eastAsia="仿宋_GB2312" w:hAnsi="仿宋_GB2312" w:cs="仿宋_GB2312" w:hint="eastAsia"/>
          <w:sz w:val="32"/>
          <w:szCs w:val="32"/>
        </w:rPr>
      </w:pPr>
      <w:r w:rsidRPr="00187EBF">
        <w:rPr>
          <w:rFonts w:ascii="仿宋_GB2312" w:eastAsia="仿宋_GB2312" w:hAnsi="仿宋_GB2312" w:cs="仿宋_GB2312" w:hint="eastAsia"/>
          <w:sz w:val="32"/>
          <w:szCs w:val="32"/>
        </w:rPr>
        <w:t>三、项目建设和运行中应重点做好以下环境保护工作：</w:t>
      </w:r>
    </w:p>
    <w:p w14:paraId="1378385A" w14:textId="06306B5D" w:rsidR="00187EBF" w:rsidRPr="00187EBF" w:rsidRDefault="00187EBF" w:rsidP="00187EB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严格落实电磁环境的各项环境保护措施，确保本工程建成投运后，变电站、输电线路周围工频电场强度、工频磁场强度分别符合《电磁环境控制限值》(GB8702-2014)中相应标准限</w:t>
      </w:r>
      <w:r w:rsidRPr="00187EBF">
        <w:rPr>
          <w:rFonts w:ascii="仿宋_GB2312" w:eastAsia="仿宋_GB2312" w:hAnsi="仿宋_GB2312" w:cs="仿宋_GB2312" w:hint="eastAsia"/>
          <w:sz w:val="32"/>
          <w:szCs w:val="32"/>
        </w:rPr>
        <w:lastRenderedPageBreak/>
        <w:t>值要求。</w:t>
      </w:r>
    </w:p>
    <w:p w14:paraId="06169CDB" w14:textId="7365D6A5" w:rsidR="00187EBF" w:rsidRPr="00187EBF" w:rsidRDefault="00187EBF" w:rsidP="00187EB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采取有效的噪声防治措施，确保本工程建成投运后，变电站、输电线路沿线噪声满足《声环境质量标准》(GB3096-2008) 1类标准限值要求。</w:t>
      </w:r>
    </w:p>
    <w:p w14:paraId="2C8C2DF7" w14:textId="74E79CF1" w:rsidR="00187EBF" w:rsidRPr="00187EBF" w:rsidRDefault="00187EBF" w:rsidP="00187EB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落实报告表中提出的施工期各项污染防治措施，采取有效防尘、降噪措施，施工过程中产生的固体垃圾应分类集中堆放，及时清运，严格控制施工影响。</w:t>
      </w:r>
    </w:p>
    <w:p w14:paraId="662EDC41" w14:textId="266277B1" w:rsidR="001B2961" w:rsidRPr="001B2961" w:rsidRDefault="00187EBF" w:rsidP="00187EB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sidRPr="00187EBF">
        <w:rPr>
          <w:rFonts w:ascii="仿宋_GB2312" w:eastAsia="仿宋_GB2312" w:hAnsi="仿宋_GB2312" w:cs="仿宋_GB2312" w:hint="eastAsia"/>
          <w:sz w:val="32"/>
          <w:szCs w:val="32"/>
        </w:rPr>
        <w:t>加强公众沟通和科普宣传，及时解决公众提出的合理 环境诉求，及时公开项目建设与环境保护信息，主动接受社会监 督。</w:t>
      </w:r>
    </w:p>
    <w:p w14:paraId="4E440580" w14:textId="77777777" w:rsidR="00187EBF" w:rsidRPr="00187EBF" w:rsidRDefault="00187EBF" w:rsidP="00187EBF">
      <w:pPr>
        <w:ind w:firstLineChars="200" w:firstLine="640"/>
        <w:rPr>
          <w:rFonts w:ascii="仿宋_GB2312" w:eastAsia="仿宋_GB2312" w:hAnsi="仿宋_GB2312" w:cs="仿宋_GB2312" w:hint="eastAsia"/>
          <w:sz w:val="32"/>
          <w:szCs w:val="32"/>
        </w:rPr>
      </w:pPr>
      <w:r w:rsidRPr="00187EBF">
        <w:rPr>
          <w:rFonts w:ascii="仿宋_GB2312" w:eastAsia="仿宋_GB2312" w:hAnsi="仿宋_GB2312" w:cs="仿宋_GB2312" w:hint="eastAsia"/>
          <w:sz w:val="32"/>
          <w:szCs w:val="32"/>
        </w:rPr>
        <w:t>四、工程建设应严格执行环境保护设施与主体工程同时设计、同时施工、同时投入使用的环境保护“三同时”制度。项目建成后，须依法进行环境保护验收，经验收合格后，方可正式投入运行。</w:t>
      </w:r>
    </w:p>
    <w:p w14:paraId="2293DD8A" w14:textId="77777777" w:rsidR="00187EBF" w:rsidRPr="00187EBF" w:rsidRDefault="00187EBF" w:rsidP="00187EBF">
      <w:pPr>
        <w:ind w:firstLineChars="200" w:firstLine="640"/>
        <w:rPr>
          <w:rFonts w:ascii="仿宋_GB2312" w:eastAsia="仿宋_GB2312" w:hAnsi="仿宋_GB2312" w:cs="仿宋_GB2312" w:hint="eastAsia"/>
          <w:sz w:val="32"/>
          <w:szCs w:val="32"/>
        </w:rPr>
      </w:pPr>
      <w:r w:rsidRPr="00187EBF">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1DA6A90A" w:rsidR="000A1460" w:rsidRPr="000A1460" w:rsidRDefault="00187EBF" w:rsidP="00187EBF">
      <w:pPr>
        <w:ind w:firstLineChars="200" w:firstLine="640"/>
        <w:rPr>
          <w:rFonts w:ascii="仿宋_GB2312" w:eastAsia="仿宋_GB2312" w:hAnsi="仿宋_GB2312" w:cs="仿宋_GB2312"/>
          <w:sz w:val="32"/>
          <w:szCs w:val="32"/>
        </w:rPr>
      </w:pPr>
      <w:r w:rsidRPr="00187EBF">
        <w:rPr>
          <w:rFonts w:ascii="仿宋_GB2312" w:eastAsia="仿宋_GB2312" w:hAnsi="仿宋_GB2312" w:cs="仿宋_GB2312" w:hint="eastAsia"/>
          <w:sz w:val="32"/>
          <w:szCs w:val="32"/>
        </w:rPr>
        <w:t>六、接此批复后20个工作日内，将环境影响报告表及批复文件送至长春市生态环境局九台区分局、长春市生态环境局中韩</w:t>
      </w:r>
      <w:r w:rsidRPr="00187EBF">
        <w:rPr>
          <w:rFonts w:ascii="仿宋_GB2312" w:eastAsia="仿宋_GB2312" w:hAnsi="仿宋_GB2312" w:cs="仿宋_GB2312" w:hint="eastAsia"/>
          <w:sz w:val="32"/>
          <w:szCs w:val="32"/>
        </w:rPr>
        <w:lastRenderedPageBreak/>
        <w:t>（长春）国际合作示范区分局、长春市生态环境局长春新区分局、长春市生态环境局德惠市分局，并按规定接受各级生态环境行政主管部门的监督检查，请长春市生态环境局九台区分局、长春市生态环境局中韩（长春）国际合作示范区分局、长春市生态环境局长春新区分局、长春市生态环境局德惠市分局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1A58B163"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187EBF">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sidR="00187EBF">
        <w:rPr>
          <w:rFonts w:ascii="仿宋_GB2312" w:eastAsia="仿宋_GB2312" w:hAnsi="仿宋_GB2312" w:cs="仿宋_GB2312"/>
          <w:sz w:val="32"/>
          <w:szCs w:val="32"/>
        </w:rPr>
        <w:t>5</w:t>
      </w:r>
      <w:r>
        <w:rPr>
          <w:rFonts w:ascii="仿宋_GB2312" w:eastAsia="仿宋_GB2312" w:hAnsi="仿宋_GB2312" w:cs="仿宋_GB2312" w:hint="eastAsia"/>
          <w:sz w:val="32"/>
          <w:szCs w:val="32"/>
        </w:rPr>
        <w:t>日</w:t>
      </w:r>
      <w:bookmarkStart w:id="0" w:name="_GoBack"/>
      <w:bookmarkEnd w:id="0"/>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9241C" w14:textId="77777777" w:rsidR="00633581" w:rsidRDefault="00633581" w:rsidP="0028188E">
      <w:r>
        <w:separator/>
      </w:r>
    </w:p>
  </w:endnote>
  <w:endnote w:type="continuationSeparator" w:id="0">
    <w:p w14:paraId="573525FF" w14:textId="77777777" w:rsidR="00633581" w:rsidRDefault="00633581"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9AAE" w14:textId="77777777" w:rsidR="00633581" w:rsidRDefault="00633581" w:rsidP="0028188E">
      <w:r>
        <w:separator/>
      </w:r>
    </w:p>
  </w:footnote>
  <w:footnote w:type="continuationSeparator" w:id="0">
    <w:p w14:paraId="25046E40" w14:textId="77777777" w:rsidR="00633581" w:rsidRDefault="00633581"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209C7"/>
    <w:rsid w:val="00037E1B"/>
    <w:rsid w:val="000A1460"/>
    <w:rsid w:val="000C192B"/>
    <w:rsid w:val="00137022"/>
    <w:rsid w:val="00170F1E"/>
    <w:rsid w:val="00173E99"/>
    <w:rsid w:val="0017526C"/>
    <w:rsid w:val="00187EBF"/>
    <w:rsid w:val="001B2961"/>
    <w:rsid w:val="0028188E"/>
    <w:rsid w:val="002E601F"/>
    <w:rsid w:val="002F28D6"/>
    <w:rsid w:val="00353BB5"/>
    <w:rsid w:val="0039539A"/>
    <w:rsid w:val="003D65A7"/>
    <w:rsid w:val="00503777"/>
    <w:rsid w:val="005D1EF0"/>
    <w:rsid w:val="00605890"/>
    <w:rsid w:val="00633581"/>
    <w:rsid w:val="006836C1"/>
    <w:rsid w:val="006C469A"/>
    <w:rsid w:val="00710A8C"/>
    <w:rsid w:val="00840A8F"/>
    <w:rsid w:val="008B1F7D"/>
    <w:rsid w:val="008C72E8"/>
    <w:rsid w:val="008E149E"/>
    <w:rsid w:val="008E36FA"/>
    <w:rsid w:val="008E5AE8"/>
    <w:rsid w:val="00924D1C"/>
    <w:rsid w:val="00926E6C"/>
    <w:rsid w:val="0094482E"/>
    <w:rsid w:val="009A0276"/>
    <w:rsid w:val="00A442B2"/>
    <w:rsid w:val="00AE271B"/>
    <w:rsid w:val="00B07F27"/>
    <w:rsid w:val="00B256B1"/>
    <w:rsid w:val="00B8150D"/>
    <w:rsid w:val="00B97759"/>
    <w:rsid w:val="00C125CC"/>
    <w:rsid w:val="00C4362E"/>
    <w:rsid w:val="00CA7EC2"/>
    <w:rsid w:val="00CC3F79"/>
    <w:rsid w:val="00D450C7"/>
    <w:rsid w:val="00D65F8C"/>
    <w:rsid w:val="00DA5E9B"/>
    <w:rsid w:val="00E60B87"/>
    <w:rsid w:val="00E92A0E"/>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22</cp:revision>
  <cp:lastPrinted>2025-05-09T06:04:00Z</cp:lastPrinted>
  <dcterms:created xsi:type="dcterms:W3CDTF">2025-03-25T02:47:00Z</dcterms:created>
  <dcterms:modified xsi:type="dcterms:W3CDTF">2026-02-05T02:45:00Z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