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2CF43" w14:textId="2086423B" w:rsidR="00840A8F" w:rsidRDefault="00840A8F">
      <w:pPr>
        <w:jc w:val="center"/>
        <w:rPr>
          <w:rFonts w:ascii="方正小标宋简体" w:eastAsia="方正小标宋简体" w:hAnsi="方正小标宋简体" w:cs="方正小标宋简体"/>
          <w:sz w:val="36"/>
          <w:szCs w:val="36"/>
        </w:rPr>
      </w:pPr>
    </w:p>
    <w:p w14:paraId="7141DC0C" w14:textId="77777777" w:rsidR="00840A8F" w:rsidRDefault="00840A8F">
      <w:pPr>
        <w:jc w:val="center"/>
        <w:rPr>
          <w:rFonts w:ascii="方正小标宋简体" w:eastAsia="方正小标宋简体" w:hAnsi="方正小标宋简体" w:cs="方正小标宋简体"/>
          <w:sz w:val="36"/>
          <w:szCs w:val="36"/>
        </w:rPr>
      </w:pPr>
    </w:p>
    <w:p w14:paraId="26F29817" w14:textId="1644ADD2" w:rsidR="00840A8F" w:rsidRDefault="00F627BE">
      <w:pPr>
        <w:jc w:val="center"/>
        <w:rPr>
          <w:rFonts w:ascii="方正小标宋简体" w:eastAsia="方正小标宋简体" w:hAnsi="方正小标宋简体" w:cs="方正小标宋简体"/>
          <w:sz w:val="36"/>
          <w:szCs w:val="36"/>
        </w:rPr>
      </w:pPr>
      <w:r w:rsidRPr="00F627BE">
        <w:rPr>
          <w:rFonts w:ascii="等线" w:eastAsia="等线" w:hAnsi="等线" w:cs="Times New Roman"/>
          <w:noProof/>
          <w:szCs w:val="22"/>
        </w:rPr>
        <mc:AlternateContent>
          <mc:Choice Requires="wpg">
            <w:drawing>
              <wp:anchor distT="0" distB="0" distL="114300" distR="114300" simplePos="0" relativeHeight="251659264" behindDoc="0" locked="0" layoutInCell="1" allowOverlap="1" wp14:anchorId="63CD0477" wp14:editId="37745734">
                <wp:simplePos x="0" y="0"/>
                <wp:positionH relativeFrom="page">
                  <wp:posOffset>713105</wp:posOffset>
                </wp:positionH>
                <wp:positionV relativeFrom="page">
                  <wp:posOffset>1073150</wp:posOffset>
                </wp:positionV>
                <wp:extent cx="6159600" cy="8888400"/>
                <wp:effectExtent l="0" t="0" r="31750" b="27305"/>
                <wp:wrapNone/>
                <wp:docPr id="6" name="组合 6"/>
                <wp:cNvGraphicFramePr/>
                <a:graphic xmlns:a="http://schemas.openxmlformats.org/drawingml/2006/main">
                  <a:graphicData uri="http://schemas.microsoft.com/office/word/2010/wordprocessingGroup">
                    <wpg:wgp>
                      <wpg:cNvGrpSpPr/>
                      <wpg:grpSpPr>
                        <a:xfrm>
                          <a:off x="0" y="0"/>
                          <a:ext cx="6159600" cy="8888400"/>
                          <a:chOff x="0" y="0"/>
                          <a:chExt cx="6160119" cy="8887557"/>
                        </a:xfrm>
                      </wpg:grpSpPr>
                      <wps:wsp>
                        <wps:cNvPr id="1" name="矩形 1"/>
                        <wps:cNvSpPr/>
                        <wps:spPr>
                          <a:xfrm>
                            <a:off x="0" y="1050324"/>
                            <a:ext cx="6155690" cy="35560"/>
                          </a:xfrm>
                          <a:prstGeom prst="rect">
                            <a:avLst/>
                          </a:prstGeom>
                          <a:solidFill>
                            <a:srgbClr val="FF0000"/>
                          </a:solid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直接连接符 2"/>
                        <wps:cNvCnPr/>
                        <wps:spPr>
                          <a:xfrm flipV="1">
                            <a:off x="0" y="1153297"/>
                            <a:ext cx="6155690" cy="7620"/>
                          </a:xfrm>
                          <a:prstGeom prst="line">
                            <a:avLst/>
                          </a:prstGeom>
                          <a:noFill/>
                          <a:ln w="12700" cap="flat" cmpd="sng" algn="ctr">
                            <a:solidFill>
                              <a:srgbClr val="FF0000"/>
                            </a:solidFill>
                            <a:prstDash val="solid"/>
                            <a:miter lim="800000"/>
                          </a:ln>
                          <a:effectLst/>
                        </wps:spPr>
                        <wps:bodyPr/>
                      </wps:wsp>
                      <wps:wsp>
                        <wps:cNvPr id="3" name="文本框 3"/>
                        <wps:cNvSpPr txBox="1"/>
                        <wps:spPr>
                          <a:xfrm>
                            <a:off x="337751" y="0"/>
                            <a:ext cx="5472000" cy="974725"/>
                          </a:xfrm>
                          <a:prstGeom prst="rect">
                            <a:avLst/>
                          </a:prstGeom>
                          <a:noFill/>
                          <a:ln>
                            <a:noFill/>
                          </a:ln>
                        </wps:spPr>
                        <wps:txbx>
                          <w:txbxContent>
                            <w:p w14:paraId="65902EA6" w14:textId="77777777" w:rsidR="00F627BE" w:rsidRPr="00794B6B" w:rsidRDefault="00F627BE" w:rsidP="00F627BE">
                              <w:pPr>
                                <w:jc w:val="center"/>
                                <w:rPr>
                                  <w:rFonts w:ascii="方正小标宋_GBK" w:eastAsia="方正小标宋_GBK"/>
                                  <w:noProof/>
                                  <w:color w:val="FF0000"/>
                                  <w:spacing w:val="20"/>
                                  <w:sz w:val="72"/>
                                  <w:szCs w:val="72"/>
                                  <w14:textOutline w14:w="0" w14:cap="flat" w14:cmpd="sng" w14:algn="ctr">
                                    <w14:noFill/>
                                    <w14:prstDash w14:val="solid"/>
                                    <w14:round/>
                                  </w14:textOutline>
                                </w:rPr>
                              </w:pPr>
                              <w:r w:rsidRPr="00794B6B">
                                <w:rPr>
                                  <w:rFonts w:ascii="方正小标宋_GBK" w:eastAsia="方正小标宋_GBK" w:hint="eastAsia"/>
                                  <w:noProof/>
                                  <w:color w:val="FF0000"/>
                                  <w:spacing w:val="20"/>
                                  <w:sz w:val="72"/>
                                  <w:szCs w:val="72"/>
                                  <w14:textOutline w14:w="0" w14:cap="flat" w14:cmpd="sng" w14:algn="ctr">
                                    <w14:noFill/>
                                    <w14:prstDash w14:val="solid"/>
                                    <w14:round/>
                                  </w14:textOutline>
                                </w:rPr>
                                <w:t>长春市生态环境局</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s:wsp>
                        <wps:cNvPr id="4" name="矩形 4"/>
                        <wps:cNvSpPr/>
                        <wps:spPr>
                          <a:xfrm>
                            <a:off x="4119" y="8851557"/>
                            <a:ext cx="6156000" cy="36000"/>
                          </a:xfrm>
                          <a:prstGeom prst="rect">
                            <a:avLst/>
                          </a:prstGeom>
                          <a:solidFill>
                            <a:srgbClr val="FF0000"/>
                          </a:solid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直接连接符 5"/>
                        <wps:cNvCnPr/>
                        <wps:spPr>
                          <a:xfrm flipV="1">
                            <a:off x="4119" y="8777416"/>
                            <a:ext cx="6155690" cy="7620"/>
                          </a:xfrm>
                          <a:prstGeom prst="line">
                            <a:avLst/>
                          </a:prstGeom>
                          <a:noFill/>
                          <a:ln w="12700" cap="flat" cmpd="sng" algn="ctr">
                            <a:solidFill>
                              <a:srgbClr val="FF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3CD0477" id="组合 6" o:spid="_x0000_s1026" style="position:absolute;left:0;text-align:left;margin-left:56.15pt;margin-top:84.5pt;width:485pt;height:699.85pt;z-index:251659264;mso-position-horizontal-relative:page;mso-position-vertical-relative:page;mso-width-relative:margin;mso-height-relative:margin" coordsize="61601,8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">
                <v:rect id="矩形 1" o:spid="_x0000_s1027" style="position:absolute;top:10503;width:615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" fillcolor="red" strokecolor="red" strokeweight=".25pt"/>
                <v:line id="直接连接符 2" o:spid="_x0000_s1028" style="position:absolute;flip:y;visibility:visible;mso-wrap-style:square" from="0,11532" to="61556,1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" strokecolor="red" strokeweight="1pt">
                  <v:stroke joinstyle="miter"/>
                </v:line>
                <v:shapetype id="_x0000_t202" coordsize="21600,21600" o:spt="202" path="m,l,21600r21600,l21600,xe">
                  <v:stroke joinstyle="miter"/>
                  <v:path gradientshapeok="t" o:connecttype="rect"/>
                </v:shapetype>
                <v:shape id="文本框 3" o:spid="_x0000_s1029" type="#_x0000_t202" style="position:absolute;left:3377;width:54720;height:9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5902EA6" w14:textId="77777777" w:rsidR="00F627BE" w:rsidRPr="00794B6B" w:rsidRDefault="00F627BE" w:rsidP="00F627BE">
                        <w:pPr>
                          <w:jc w:val="center"/>
                          <w:rPr>
                            <w:rFonts w:ascii="方正小标宋_GBK" w:eastAsia="方正小标宋_GBK"/>
                            <w:noProof/>
                            <w:color w:val="FF0000"/>
                            <w:spacing w:val="20"/>
                            <w:sz w:val="72"/>
                            <w:szCs w:val="72"/>
                            <w14:textOutline w14:w="0" w14:cap="flat" w14:cmpd="sng" w14:algn="ctr">
                              <w14:noFill/>
                              <w14:prstDash w14:val="solid"/>
                              <w14:round/>
                            </w14:textOutline>
                          </w:rPr>
                        </w:pPr>
                        <w:r w:rsidRPr="00794B6B">
                          <w:rPr>
                            <w:rFonts w:ascii="方正小标宋_GBK" w:eastAsia="方正小标宋_GBK" w:hint="eastAsia"/>
                            <w:noProof/>
                            <w:color w:val="FF0000"/>
                            <w:spacing w:val="20"/>
                            <w:sz w:val="72"/>
                            <w:szCs w:val="72"/>
                            <w14:textOutline w14:w="0" w14:cap="flat" w14:cmpd="sng" w14:algn="ctr">
                              <w14:noFill/>
                              <w14:prstDash w14:val="solid"/>
                              <w14:round/>
                            </w14:textOutline>
                          </w:rPr>
                          <w:t>长春市生态环境局</w:t>
                        </w:r>
                      </w:p>
                    </w:txbxContent>
                  </v:textbox>
                </v:shape>
                <v:rect id="矩形 4" o:spid="_x0000_s1030" style="position:absolute;left:41;top:88515;width:615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" fillcolor="red" strokecolor="red" strokeweight=".25pt"/>
                <v:line id="直接连接符 5" o:spid="_x0000_s1031" style="position:absolute;flip:y;visibility:visible;mso-wrap-style:square" from="41,87774" to="61598,8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" strokecolor="red" strokeweight="1pt">
                  <v:stroke joinstyle="miter"/>
                </v:line>
                <w10:wrap anchorx="page" anchory="page"/>
              </v:group>
            </w:pict>
          </mc:Fallback>
        </mc:AlternateContent>
      </w:r>
    </w:p>
    <w:p w14:paraId="2F75AD12" w14:textId="2D736FC0" w:rsidR="00037E1B" w:rsidRDefault="00D65F8C" w:rsidP="00037E1B">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长环辐建（表）〔2</w:t>
      </w:r>
      <w:r>
        <w:rPr>
          <w:rFonts w:ascii="仿宋_GB2312" w:eastAsia="仿宋_GB2312" w:hAnsi="仿宋_GB2312" w:cs="仿宋_GB2312"/>
          <w:sz w:val="32"/>
          <w:szCs w:val="32"/>
        </w:rPr>
        <w:t>02</w:t>
      </w:r>
      <w:r w:rsidR="00C4362E">
        <w:rPr>
          <w:rFonts w:ascii="仿宋_GB2312" w:eastAsia="仿宋_GB2312" w:hAnsi="仿宋_GB2312" w:cs="仿宋_GB2312"/>
          <w:sz w:val="32"/>
          <w:szCs w:val="32"/>
        </w:rPr>
        <w:t>6</w:t>
      </w:r>
      <w:r>
        <w:rPr>
          <w:rFonts w:ascii="仿宋_GB2312" w:eastAsia="仿宋_GB2312" w:hAnsi="仿宋_GB2312" w:cs="仿宋_GB2312" w:hint="eastAsia"/>
          <w:sz w:val="32"/>
          <w:szCs w:val="32"/>
        </w:rPr>
        <w:t>〕</w:t>
      </w:r>
      <w:r w:rsidR="00434DE1">
        <w:rPr>
          <w:rFonts w:ascii="仿宋_GB2312" w:eastAsia="仿宋_GB2312" w:hAnsi="仿宋_GB2312" w:cs="仿宋_GB2312"/>
          <w:sz w:val="32"/>
          <w:szCs w:val="32"/>
        </w:rPr>
        <w:t>1</w:t>
      </w:r>
      <w:r w:rsidR="002F1CEC">
        <w:rPr>
          <w:rFonts w:ascii="仿宋_GB2312" w:eastAsia="仿宋_GB2312" w:hAnsi="仿宋_GB2312" w:cs="仿宋_GB2312"/>
          <w:sz w:val="32"/>
          <w:szCs w:val="32"/>
        </w:rPr>
        <w:t>8</w:t>
      </w:r>
      <w:r>
        <w:rPr>
          <w:rFonts w:ascii="仿宋_GB2312" w:eastAsia="仿宋_GB2312" w:hAnsi="仿宋_GB2312" w:cs="仿宋_GB2312" w:hint="eastAsia"/>
          <w:sz w:val="32"/>
          <w:szCs w:val="32"/>
        </w:rPr>
        <w:t>号</w:t>
      </w:r>
    </w:p>
    <w:p w14:paraId="09D6BECA" w14:textId="77777777" w:rsidR="00037E1B" w:rsidRPr="00037E1B" w:rsidRDefault="00037E1B" w:rsidP="00037E1B">
      <w:pPr>
        <w:jc w:val="right"/>
        <w:rPr>
          <w:rFonts w:ascii="仿宋_GB2312" w:eastAsia="仿宋_GB2312" w:hAnsi="仿宋_GB2312" w:cs="仿宋_GB2312"/>
          <w:sz w:val="32"/>
          <w:szCs w:val="32"/>
        </w:rPr>
      </w:pPr>
    </w:p>
    <w:p w14:paraId="605C6DC3" w14:textId="3BB7423B" w:rsidR="00840A8F" w:rsidRPr="00924D1C" w:rsidRDefault="00126E21" w:rsidP="00924D1C">
      <w:pPr>
        <w:adjustRightInd w:val="0"/>
        <w:snapToGrid w:val="0"/>
        <w:jc w:val="center"/>
        <w:rPr>
          <w:rFonts w:ascii="方正小标宋简体" w:eastAsia="方正小标宋简体" w:hAnsi="方正小标宋简体" w:cs="方正小标宋简体"/>
          <w:sz w:val="44"/>
          <w:szCs w:val="44"/>
        </w:rPr>
      </w:pPr>
      <w:r w:rsidRPr="00126E21">
        <w:rPr>
          <w:rFonts w:ascii="方正小标宋简体" w:eastAsia="方正小标宋简体" w:hAnsi="方正小标宋简体" w:cs="方正小标宋简体" w:hint="eastAsia"/>
          <w:sz w:val="44"/>
          <w:szCs w:val="44"/>
        </w:rPr>
        <w:t>关于吉林长春双阳220kV变电站改造工程环境影响报告表的批复</w:t>
      </w:r>
    </w:p>
    <w:p w14:paraId="26D084E1" w14:textId="77777777" w:rsidR="00840A8F" w:rsidRDefault="00840A8F">
      <w:pPr>
        <w:ind w:firstLineChars="200" w:firstLine="640"/>
        <w:rPr>
          <w:rFonts w:ascii="仿宋_GB2312" w:eastAsia="仿宋_GB2312" w:hAnsi="仿宋_GB2312" w:cs="仿宋_GB2312"/>
          <w:sz w:val="32"/>
          <w:szCs w:val="32"/>
        </w:rPr>
      </w:pPr>
    </w:p>
    <w:p w14:paraId="3716C8AF" w14:textId="1058172C" w:rsidR="00840A8F" w:rsidRDefault="00126E21" w:rsidP="00926E6C">
      <w:pPr>
        <w:rPr>
          <w:rFonts w:ascii="仿宋_GB2312" w:eastAsia="仿宋_GB2312" w:hAnsi="仿宋_GB2312" w:cs="仿宋_GB2312"/>
          <w:sz w:val="32"/>
          <w:szCs w:val="32"/>
        </w:rPr>
      </w:pPr>
      <w:proofErr w:type="gramStart"/>
      <w:r w:rsidRPr="00126E21">
        <w:rPr>
          <w:rFonts w:ascii="仿宋_GB2312" w:eastAsia="仿宋_GB2312" w:hAnsi="仿宋_GB2312" w:cs="仿宋_GB2312" w:hint="eastAsia"/>
          <w:sz w:val="32"/>
          <w:szCs w:val="32"/>
        </w:rPr>
        <w:t>国网吉林省电力有限公司长春供电公司</w:t>
      </w:r>
      <w:proofErr w:type="gramEnd"/>
      <w:r w:rsidR="000A1460">
        <w:rPr>
          <w:rFonts w:ascii="仿宋_GB2312" w:eastAsia="仿宋_GB2312" w:hAnsi="仿宋_GB2312" w:cs="仿宋_GB2312" w:hint="eastAsia"/>
          <w:sz w:val="32"/>
          <w:szCs w:val="32"/>
        </w:rPr>
        <w:t>：</w:t>
      </w:r>
    </w:p>
    <w:p w14:paraId="25ABEF41"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你单位报送的《吉林长春双阳220kV变电站改造工程环境影响报告表审批的申请》及相关材料收悉。根据环境影响报告表的评价结论和长春市环境工程评估中心的评估意见，经研究，批复如下：</w:t>
      </w:r>
    </w:p>
    <w:p w14:paraId="5006614F"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一、项目建设地点位于吉林省长春市双阳区平湖街道和云山街道境内。主要建设内容为：</w:t>
      </w:r>
    </w:p>
    <w:p w14:paraId="1FD00598"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（一）改造双阳220千伏变电站，更换主变构架，拆除现有220千伏配电装置设备，本期220千伏出线间隔为3回，间隔内设备新增，接线方式由单母线带旁路接线改为双母线接线。</w:t>
      </w:r>
    </w:p>
    <w:p w14:paraId="0A734F4B"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（二）扩建锦绣220千伏变电站，利用东侧第1预留间隔扩建1回220千伏出线间隔，间隔内设备新增。</w:t>
      </w:r>
    </w:p>
    <w:p w14:paraId="04B5B722"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lastRenderedPageBreak/>
        <w:t>（三）新建双阳220千伏变电站至锦绣220千伏变电站间220</w:t>
      </w:r>
      <w:proofErr w:type="gramStart"/>
      <w:r w:rsidRPr="00126E21">
        <w:rPr>
          <w:rFonts w:ascii="仿宋_GB2312" w:eastAsia="仿宋_GB2312" w:hAnsi="仿宋_GB2312" w:cs="仿宋_GB2312" w:hint="eastAsia"/>
          <w:sz w:val="32"/>
          <w:szCs w:val="32"/>
        </w:rPr>
        <w:t>千伏单回架空</w:t>
      </w:r>
      <w:proofErr w:type="gramEnd"/>
      <w:r w:rsidRPr="00126E21">
        <w:rPr>
          <w:rFonts w:ascii="仿宋_GB2312" w:eastAsia="仿宋_GB2312" w:hAnsi="仿宋_GB2312" w:cs="仿宋_GB2312" w:hint="eastAsia"/>
          <w:sz w:val="32"/>
          <w:szCs w:val="32"/>
        </w:rPr>
        <w:t>输电线路，新建线路长约11.74千米，其中双阳220千伏变电站出口0.5千米段按双回路架设（单侧挂线），其余线路</w:t>
      </w:r>
      <w:proofErr w:type="gramStart"/>
      <w:r w:rsidRPr="00126E21">
        <w:rPr>
          <w:rFonts w:ascii="仿宋_GB2312" w:eastAsia="仿宋_GB2312" w:hAnsi="仿宋_GB2312" w:cs="仿宋_GB2312" w:hint="eastAsia"/>
          <w:sz w:val="32"/>
          <w:szCs w:val="32"/>
        </w:rPr>
        <w:t>按照单回架设</w:t>
      </w:r>
      <w:proofErr w:type="gramEnd"/>
      <w:r w:rsidRPr="00126E21">
        <w:rPr>
          <w:rFonts w:ascii="仿宋_GB2312" w:eastAsia="仿宋_GB2312" w:hAnsi="仿宋_GB2312" w:cs="仿宋_GB2312" w:hint="eastAsia"/>
          <w:sz w:val="32"/>
          <w:szCs w:val="32"/>
        </w:rPr>
        <w:t>，导线采用2×JL3/G1A-400/35</w:t>
      </w:r>
      <w:proofErr w:type="gramStart"/>
      <w:r w:rsidRPr="00126E21">
        <w:rPr>
          <w:rFonts w:ascii="仿宋_GB2312" w:eastAsia="仿宋_GB2312" w:hAnsi="仿宋_GB2312" w:cs="仿宋_GB2312" w:hint="eastAsia"/>
          <w:sz w:val="32"/>
          <w:szCs w:val="32"/>
        </w:rPr>
        <w:t>型钢芯高导电</w:t>
      </w:r>
      <w:proofErr w:type="gramEnd"/>
      <w:r w:rsidRPr="00126E21">
        <w:rPr>
          <w:rFonts w:ascii="仿宋_GB2312" w:eastAsia="仿宋_GB2312" w:hAnsi="仿宋_GB2312" w:cs="仿宋_GB2312" w:hint="eastAsia"/>
          <w:sz w:val="32"/>
          <w:szCs w:val="32"/>
        </w:rPr>
        <w:t>率铝绞线，地线采用两根72芯OPGW光缆架设，新建38基铁塔。</w:t>
      </w:r>
    </w:p>
    <w:p w14:paraId="4A3F4062"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（四）改造220</w:t>
      </w:r>
      <w:proofErr w:type="gramStart"/>
      <w:r w:rsidRPr="00126E21">
        <w:rPr>
          <w:rFonts w:ascii="仿宋_GB2312" w:eastAsia="仿宋_GB2312" w:hAnsi="仿宋_GB2312" w:cs="仿宋_GB2312" w:hint="eastAsia"/>
          <w:sz w:val="32"/>
          <w:szCs w:val="32"/>
        </w:rPr>
        <w:t>千伏双伊线</w:t>
      </w:r>
      <w:proofErr w:type="gramEnd"/>
      <w:r w:rsidRPr="00126E21">
        <w:rPr>
          <w:rFonts w:ascii="仿宋_GB2312" w:eastAsia="仿宋_GB2312" w:hAnsi="仿宋_GB2312" w:cs="仿宋_GB2312" w:hint="eastAsia"/>
          <w:sz w:val="32"/>
          <w:szCs w:val="32"/>
        </w:rPr>
        <w:t>，拆除原有</w:t>
      </w:r>
      <w:proofErr w:type="gramStart"/>
      <w:r w:rsidRPr="00126E21">
        <w:rPr>
          <w:rFonts w:ascii="仿宋_GB2312" w:eastAsia="仿宋_GB2312" w:hAnsi="仿宋_GB2312" w:cs="仿宋_GB2312" w:hint="eastAsia"/>
          <w:sz w:val="32"/>
          <w:szCs w:val="32"/>
        </w:rPr>
        <w:t>双伊线</w:t>
      </w:r>
      <w:proofErr w:type="gramEnd"/>
      <w:r w:rsidRPr="00126E21">
        <w:rPr>
          <w:rFonts w:ascii="仿宋_GB2312" w:eastAsia="仿宋_GB2312" w:hAnsi="仿宋_GB2312" w:cs="仿宋_GB2312" w:hint="eastAsia"/>
          <w:sz w:val="32"/>
          <w:szCs w:val="32"/>
        </w:rPr>
        <w:t>1号、2号铁塔，新建1</w:t>
      </w:r>
      <w:proofErr w:type="gramStart"/>
      <w:r w:rsidRPr="00126E21">
        <w:rPr>
          <w:rFonts w:ascii="仿宋_GB2312" w:eastAsia="仿宋_GB2312" w:hAnsi="仿宋_GB2312" w:cs="仿宋_GB2312" w:hint="eastAsia"/>
          <w:sz w:val="32"/>
          <w:szCs w:val="32"/>
        </w:rPr>
        <w:t>基耐张塔</w:t>
      </w:r>
      <w:proofErr w:type="gramEnd"/>
      <w:r w:rsidRPr="00126E21">
        <w:rPr>
          <w:rFonts w:ascii="仿宋_GB2312" w:eastAsia="仿宋_GB2312" w:hAnsi="仿宋_GB2312" w:cs="仿宋_GB2312" w:hint="eastAsia"/>
          <w:sz w:val="32"/>
          <w:szCs w:val="32"/>
        </w:rPr>
        <w:t>，1基终端塔，采用单回路架空架设，导线采用2×JL3/G1A-400/35</w:t>
      </w:r>
      <w:proofErr w:type="gramStart"/>
      <w:r w:rsidRPr="00126E21">
        <w:rPr>
          <w:rFonts w:ascii="仿宋_GB2312" w:eastAsia="仿宋_GB2312" w:hAnsi="仿宋_GB2312" w:cs="仿宋_GB2312" w:hint="eastAsia"/>
          <w:sz w:val="32"/>
          <w:szCs w:val="32"/>
        </w:rPr>
        <w:t>型钢芯高导电</w:t>
      </w:r>
      <w:proofErr w:type="gramEnd"/>
      <w:r w:rsidRPr="00126E21">
        <w:rPr>
          <w:rFonts w:ascii="仿宋_GB2312" w:eastAsia="仿宋_GB2312" w:hAnsi="仿宋_GB2312" w:cs="仿宋_GB2312" w:hint="eastAsia"/>
          <w:sz w:val="32"/>
          <w:szCs w:val="32"/>
        </w:rPr>
        <w:t>率铝绞线，改造线路长约0.5千米。</w:t>
      </w:r>
    </w:p>
    <w:p w14:paraId="7795CFCE"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（五）改造220千伏庆双线，拆除庆双线45号铁塔（现状洋双线186号塔），新建1基终端塔，采用单回路架空架设，导线采用2×JL3/G1A-400/35</w:t>
      </w:r>
      <w:proofErr w:type="gramStart"/>
      <w:r w:rsidRPr="00126E21">
        <w:rPr>
          <w:rFonts w:ascii="仿宋_GB2312" w:eastAsia="仿宋_GB2312" w:hAnsi="仿宋_GB2312" w:cs="仿宋_GB2312" w:hint="eastAsia"/>
          <w:sz w:val="32"/>
          <w:szCs w:val="32"/>
        </w:rPr>
        <w:t>型钢芯高导电</w:t>
      </w:r>
      <w:proofErr w:type="gramEnd"/>
      <w:r w:rsidRPr="00126E21">
        <w:rPr>
          <w:rFonts w:ascii="仿宋_GB2312" w:eastAsia="仿宋_GB2312" w:hAnsi="仿宋_GB2312" w:cs="仿宋_GB2312" w:hint="eastAsia"/>
          <w:sz w:val="32"/>
          <w:szCs w:val="32"/>
        </w:rPr>
        <w:t>率铝绞线，改造线路长约0.25千米。</w:t>
      </w:r>
    </w:p>
    <w:p w14:paraId="49521ABB"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（六）更换伊通220千伏变电站内220</w:t>
      </w:r>
      <w:proofErr w:type="gramStart"/>
      <w:r w:rsidRPr="00126E21">
        <w:rPr>
          <w:rFonts w:ascii="仿宋_GB2312" w:eastAsia="仿宋_GB2312" w:hAnsi="仿宋_GB2312" w:cs="仿宋_GB2312" w:hint="eastAsia"/>
          <w:sz w:val="32"/>
          <w:szCs w:val="32"/>
        </w:rPr>
        <w:t>千伏双伊线</w:t>
      </w:r>
      <w:proofErr w:type="gramEnd"/>
      <w:r w:rsidRPr="00126E21">
        <w:rPr>
          <w:rFonts w:ascii="仿宋_GB2312" w:eastAsia="仿宋_GB2312" w:hAnsi="仿宋_GB2312" w:cs="仿宋_GB2312" w:hint="eastAsia"/>
          <w:sz w:val="32"/>
          <w:szCs w:val="32"/>
        </w:rPr>
        <w:t>保护装置（本项目的辅助工程）。</w:t>
      </w:r>
    </w:p>
    <w:p w14:paraId="068D8311" w14:textId="6DD84C60" w:rsidR="00924D1C" w:rsidRPr="00924D1C" w:rsidRDefault="00126E21" w:rsidP="00126E21">
      <w:pPr>
        <w:ind w:firstLineChars="200" w:firstLine="640"/>
        <w:rPr>
          <w:rFonts w:ascii="仿宋_GB2312" w:eastAsia="仿宋_GB2312" w:hAnsi="仿宋_GB2312" w:cs="仿宋_GB2312"/>
          <w:sz w:val="32"/>
          <w:szCs w:val="32"/>
        </w:rPr>
      </w:pPr>
      <w:r w:rsidRPr="00126E21">
        <w:rPr>
          <w:rFonts w:ascii="仿宋_GB2312" w:eastAsia="仿宋_GB2312" w:hAnsi="仿宋_GB2312" w:cs="仿宋_GB2312" w:hint="eastAsia"/>
          <w:sz w:val="32"/>
          <w:szCs w:val="32"/>
        </w:rPr>
        <w:t>项目总投资7927万元，其中环保投资108.77万元。</w:t>
      </w:r>
    </w:p>
    <w:p w14:paraId="09F71458"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二、该项目通过专家评审，经审查认为吉林省泽盛科技有限公司编制的环境影响报告</w:t>
      </w:r>
      <w:proofErr w:type="gramStart"/>
      <w:r w:rsidRPr="00126E21">
        <w:rPr>
          <w:rFonts w:ascii="仿宋_GB2312" w:eastAsia="仿宋_GB2312" w:hAnsi="仿宋_GB2312" w:cs="仿宋_GB2312" w:hint="eastAsia"/>
          <w:sz w:val="32"/>
          <w:szCs w:val="32"/>
        </w:rPr>
        <w:t>表符合</w:t>
      </w:r>
      <w:proofErr w:type="gramEnd"/>
      <w:r w:rsidRPr="00126E21">
        <w:rPr>
          <w:rFonts w:ascii="仿宋_GB2312" w:eastAsia="仿宋_GB2312" w:hAnsi="仿宋_GB2312" w:cs="仿宋_GB2312" w:hint="eastAsia"/>
          <w:sz w:val="32"/>
          <w:szCs w:val="32"/>
        </w:rPr>
        <w:t>有关技术要求，评价结论可信。鉴于相关部门已同意该项目</w:t>
      </w:r>
      <w:proofErr w:type="gramStart"/>
      <w:r w:rsidRPr="00126E21">
        <w:rPr>
          <w:rFonts w:ascii="仿宋_GB2312" w:eastAsia="仿宋_GB2312" w:hAnsi="仿宋_GB2312" w:cs="仿宋_GB2312" w:hint="eastAsia"/>
          <w:sz w:val="32"/>
          <w:szCs w:val="32"/>
        </w:rPr>
        <w:t>送出线</w:t>
      </w:r>
      <w:proofErr w:type="gramEnd"/>
      <w:r w:rsidRPr="00126E21">
        <w:rPr>
          <w:rFonts w:ascii="仿宋_GB2312" w:eastAsia="仿宋_GB2312" w:hAnsi="仿宋_GB2312" w:cs="仿宋_GB2312" w:hint="eastAsia"/>
          <w:sz w:val="32"/>
          <w:szCs w:val="32"/>
        </w:rPr>
        <w:t>路径选址，我局原则同意该项</w:t>
      </w:r>
      <w:r w:rsidRPr="00126E21">
        <w:rPr>
          <w:rFonts w:ascii="仿宋_GB2312" w:eastAsia="仿宋_GB2312" w:hAnsi="仿宋_GB2312" w:cs="仿宋_GB2312" w:hint="eastAsia"/>
          <w:sz w:val="32"/>
          <w:szCs w:val="32"/>
        </w:rPr>
        <w:lastRenderedPageBreak/>
        <w:t>目环境影响报告表结论及所提出的环境保护措施。项目在落实《报告表》提出的各项环境保护措施和下列工作要求后，可以满足国家环境保护相关法规和标准的要求。</w:t>
      </w:r>
    </w:p>
    <w:p w14:paraId="0188490E" w14:textId="66D43B99" w:rsidR="00C4362E" w:rsidRPr="00C4362E" w:rsidRDefault="00126E21" w:rsidP="00126E21">
      <w:pPr>
        <w:ind w:firstLineChars="200" w:firstLine="640"/>
        <w:rPr>
          <w:rFonts w:ascii="仿宋_GB2312" w:eastAsia="仿宋_GB2312" w:hAnsi="仿宋_GB2312" w:cs="仿宋_GB2312"/>
          <w:sz w:val="32"/>
          <w:szCs w:val="32"/>
        </w:rPr>
      </w:pPr>
      <w:r w:rsidRPr="00126E21">
        <w:rPr>
          <w:rFonts w:ascii="仿宋_GB2312" w:eastAsia="仿宋_GB2312" w:hAnsi="仿宋_GB2312" w:cs="仿宋_GB2312" w:hint="eastAsia"/>
          <w:sz w:val="32"/>
          <w:szCs w:val="32"/>
        </w:rPr>
        <w:t>项目建设要严格遵守国家、地方相关法律法规及电力、自然资源和规划、林草、水务、农业农村、交通等各相关行政管理部门的要求，特别是涉及永久基本农田等敏感区域的，应依法办理相关手续。</w:t>
      </w:r>
    </w:p>
    <w:p w14:paraId="54F933CF" w14:textId="77777777" w:rsidR="00434DE1" w:rsidRPr="00434DE1" w:rsidRDefault="00434DE1" w:rsidP="00434DE1">
      <w:pPr>
        <w:ind w:firstLineChars="200" w:firstLine="640"/>
        <w:rPr>
          <w:rFonts w:ascii="仿宋_GB2312" w:eastAsia="仿宋_GB2312" w:hAnsi="仿宋_GB2312" w:cs="仿宋_GB2312"/>
          <w:sz w:val="32"/>
          <w:szCs w:val="32"/>
        </w:rPr>
      </w:pPr>
      <w:r w:rsidRPr="00434DE1">
        <w:rPr>
          <w:rFonts w:ascii="仿宋_GB2312" w:eastAsia="仿宋_GB2312" w:hAnsi="仿宋_GB2312" w:cs="仿宋_GB2312" w:hint="eastAsia"/>
          <w:sz w:val="32"/>
          <w:szCs w:val="32"/>
        </w:rPr>
        <w:t>三、项目建设和运行中应重点做好以下环境保护工作：</w:t>
      </w:r>
    </w:p>
    <w:p w14:paraId="017CE407"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（一）严格落实电磁环境的各项环境保护措施，确保本工程建成投运后，变电站、输电线路周围工频电场强度、工频磁场强度分别符合《电磁环境控制限值》（GB8702-2014）中相应标准限值要求。</w:t>
      </w:r>
    </w:p>
    <w:p w14:paraId="2F4488C8"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（二）采取有效的噪声防治措施，确保本工程建成投运后，变电站、输电线路沿线噪声满足《声环境质量标准》（GB3096-2008）1类标准限值要求。</w:t>
      </w:r>
    </w:p>
    <w:p w14:paraId="734028E3"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（三）落实报告表中提出的施工期各项污染防治措施，采取有效防尘、降噪措施，施工过程中产生的固体垃圾应分类集中堆放，及时清运，严格控制施工影响。</w:t>
      </w:r>
    </w:p>
    <w:p w14:paraId="662EDC41" w14:textId="7F6D75B3" w:rsidR="001B2961" w:rsidRPr="001B2961" w:rsidRDefault="00126E21" w:rsidP="00126E21">
      <w:pPr>
        <w:ind w:firstLineChars="200" w:firstLine="640"/>
        <w:rPr>
          <w:rFonts w:ascii="仿宋_GB2312" w:eastAsia="仿宋_GB2312" w:hAnsi="仿宋_GB2312" w:cs="仿宋_GB2312"/>
          <w:sz w:val="32"/>
          <w:szCs w:val="32"/>
        </w:rPr>
      </w:pPr>
      <w:r w:rsidRPr="00126E21">
        <w:rPr>
          <w:rFonts w:ascii="仿宋_GB2312" w:eastAsia="仿宋_GB2312" w:hAnsi="仿宋_GB2312" w:cs="仿宋_GB2312" w:hint="eastAsia"/>
          <w:sz w:val="32"/>
          <w:szCs w:val="32"/>
        </w:rPr>
        <w:t>（四）加强公众沟通和科普宣传，及时解决公众提出的合理环境诉求，及时公开项目建设与环境保护信息，主动接受社会监</w:t>
      </w:r>
      <w:r w:rsidRPr="00126E21">
        <w:rPr>
          <w:rFonts w:ascii="仿宋_GB2312" w:eastAsia="仿宋_GB2312" w:hAnsi="仿宋_GB2312" w:cs="仿宋_GB2312" w:hint="eastAsia"/>
          <w:sz w:val="32"/>
          <w:szCs w:val="32"/>
        </w:rPr>
        <w:lastRenderedPageBreak/>
        <w:t>督。</w:t>
      </w:r>
    </w:p>
    <w:p w14:paraId="72E04ACC"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四、工程建设应严格执行环境保护设施与主体工程同时设计、同时施工、同时投入使用的环境保护“三同时”制度。项目建成后，须依法进行环境保护验收，经验收合格后，方可正式投入运行。</w:t>
      </w:r>
    </w:p>
    <w:p w14:paraId="21A25E5C" w14:textId="77777777" w:rsidR="00126E21" w:rsidRPr="00126E21" w:rsidRDefault="00126E21" w:rsidP="00126E21">
      <w:pPr>
        <w:ind w:firstLineChars="200" w:firstLine="640"/>
        <w:rPr>
          <w:rFonts w:ascii="仿宋_GB2312" w:eastAsia="仿宋_GB2312" w:hAnsi="仿宋_GB2312" w:cs="仿宋_GB2312" w:hint="eastAsia"/>
          <w:sz w:val="32"/>
          <w:szCs w:val="32"/>
        </w:rPr>
      </w:pPr>
      <w:r w:rsidRPr="00126E21">
        <w:rPr>
          <w:rFonts w:ascii="仿宋_GB2312" w:eastAsia="仿宋_GB2312" w:hAnsi="仿宋_GB2312" w:cs="仿宋_GB2312" w:hint="eastAsia"/>
          <w:sz w:val="32"/>
          <w:szCs w:val="32"/>
        </w:rPr>
        <w:t>五、工程的性质、规模、地点、采用的生产工艺或者防治污染措施发生重大变动的，应当重新报批该项目的环境影响评价文件。本批复自批准之日起超过五年，方决定该项目开工建设，环境影响报告表应当报我局重新审核。</w:t>
      </w:r>
    </w:p>
    <w:p w14:paraId="1C17F49C" w14:textId="6D0AB8C6" w:rsidR="000A1460" w:rsidRDefault="00126E21" w:rsidP="00126E21">
      <w:pPr>
        <w:ind w:firstLineChars="200" w:firstLine="640"/>
        <w:rPr>
          <w:rFonts w:ascii="仿宋_GB2312" w:eastAsia="仿宋_GB2312" w:hAnsi="仿宋_GB2312" w:cs="仿宋_GB2312"/>
          <w:sz w:val="32"/>
          <w:szCs w:val="32"/>
        </w:rPr>
      </w:pPr>
      <w:r w:rsidRPr="00126E21">
        <w:rPr>
          <w:rFonts w:ascii="仿宋_GB2312" w:eastAsia="仿宋_GB2312" w:hAnsi="仿宋_GB2312" w:cs="仿宋_GB2312" w:hint="eastAsia"/>
          <w:sz w:val="32"/>
          <w:szCs w:val="32"/>
        </w:rPr>
        <w:t>六、接此批复后20个工作日内，将环境影响报告表及批复文件送至长春市生态环境局双阳区分局，并按规定接受各级生态环境行政主管部门的监督检查，请长春市生态环境局双阳区分局做好该项目施工期和运营期的环境保护日常监管工作。</w:t>
      </w:r>
    </w:p>
    <w:p w14:paraId="0CA2A0EE" w14:textId="56049444" w:rsidR="00551C2F" w:rsidRDefault="00551C2F" w:rsidP="00551C2F">
      <w:pPr>
        <w:ind w:firstLineChars="200" w:firstLine="640"/>
        <w:rPr>
          <w:rFonts w:ascii="仿宋_GB2312" w:eastAsia="仿宋_GB2312" w:hAnsi="仿宋_GB2312" w:cs="仿宋_GB2312"/>
          <w:sz w:val="32"/>
          <w:szCs w:val="32"/>
        </w:rPr>
      </w:pPr>
    </w:p>
    <w:p w14:paraId="08B8CB53" w14:textId="77777777" w:rsidR="00551C2F" w:rsidRDefault="00551C2F" w:rsidP="00551C2F">
      <w:pPr>
        <w:ind w:firstLineChars="200" w:firstLine="640"/>
        <w:rPr>
          <w:rFonts w:ascii="仿宋_GB2312" w:eastAsia="仿宋_GB2312" w:hAnsi="仿宋_GB2312" w:cs="仿宋_GB2312"/>
          <w:sz w:val="32"/>
          <w:szCs w:val="32"/>
        </w:rPr>
      </w:pPr>
    </w:p>
    <w:p w14:paraId="1CB90E07" w14:textId="77777777" w:rsidR="000A1460" w:rsidRDefault="000A1460" w:rsidP="000A1460">
      <w:pPr>
        <w:wordWrap w:val="0"/>
        <w:jc w:val="righ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t xml:space="preserve">长春市生态环境局    </w:t>
      </w:r>
    </w:p>
    <w:p w14:paraId="025BE323" w14:textId="1D5D09B0" w:rsidR="000A1460" w:rsidRDefault="000A1460" w:rsidP="000A1460">
      <w:pPr>
        <w:wordWrap w:val="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C4362E">
        <w:rPr>
          <w:rFonts w:ascii="仿宋_GB2312" w:eastAsia="仿宋_GB2312" w:hAnsi="仿宋_GB2312" w:cs="仿宋_GB2312"/>
          <w:sz w:val="32"/>
          <w:szCs w:val="32"/>
        </w:rPr>
        <w:t>6</w:t>
      </w:r>
      <w:r>
        <w:rPr>
          <w:rFonts w:ascii="仿宋_GB2312" w:eastAsia="仿宋_GB2312" w:hAnsi="仿宋_GB2312" w:cs="仿宋_GB2312" w:hint="eastAsia"/>
          <w:sz w:val="32"/>
          <w:szCs w:val="32"/>
        </w:rPr>
        <w:t>年</w:t>
      </w:r>
      <w:r w:rsidR="00434DE1">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sidR="00126E21">
        <w:rPr>
          <w:rFonts w:ascii="仿宋_GB2312" w:eastAsia="仿宋_GB2312" w:hAnsi="仿宋_GB2312" w:cs="仿宋_GB2312"/>
          <w:sz w:val="32"/>
          <w:szCs w:val="32"/>
        </w:rPr>
        <w:t>2</w:t>
      </w:r>
      <w:r w:rsidR="00434DE1">
        <w:rPr>
          <w:rFonts w:ascii="仿宋_GB2312" w:eastAsia="仿宋_GB2312" w:hAnsi="仿宋_GB2312" w:cs="仿宋_GB2312"/>
          <w:sz w:val="32"/>
          <w:szCs w:val="32"/>
        </w:rPr>
        <w:t>1</w:t>
      </w:r>
      <w:r>
        <w:rPr>
          <w:rFonts w:ascii="仿宋_GB2312" w:eastAsia="仿宋_GB2312" w:hAnsi="仿宋_GB2312" w:cs="仿宋_GB2312" w:hint="eastAsia"/>
          <w:sz w:val="32"/>
          <w:szCs w:val="32"/>
        </w:rPr>
        <w:t>日</w:t>
      </w:r>
      <w:r w:rsidR="00710A8C">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p>
    <w:sectPr w:rsidR="000A1460">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871D" w14:textId="77777777" w:rsidR="00C23742" w:rsidRDefault="00C23742" w:rsidP="0028188E">
      <w:r>
        <w:separator/>
      </w:r>
    </w:p>
  </w:endnote>
  <w:endnote w:type="continuationSeparator" w:id="0">
    <w:p w14:paraId="6CEF5959" w14:textId="77777777" w:rsidR="00C23742" w:rsidRDefault="00C23742" w:rsidP="0028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F03A6" w14:textId="77777777" w:rsidR="00C23742" w:rsidRDefault="00C23742" w:rsidP="0028188E">
      <w:r>
        <w:separator/>
      </w:r>
    </w:p>
  </w:footnote>
  <w:footnote w:type="continuationSeparator" w:id="0">
    <w:p w14:paraId="7E4A6A2F" w14:textId="77777777" w:rsidR="00C23742" w:rsidRDefault="00C23742" w:rsidP="00281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580007"/>
    <w:rsid w:val="00002B95"/>
    <w:rsid w:val="000209C7"/>
    <w:rsid w:val="00037E1B"/>
    <w:rsid w:val="000A1460"/>
    <w:rsid w:val="000B33F1"/>
    <w:rsid w:val="000C192B"/>
    <w:rsid w:val="00126E21"/>
    <w:rsid w:val="00137022"/>
    <w:rsid w:val="00156D99"/>
    <w:rsid w:val="00170F1E"/>
    <w:rsid w:val="00173E99"/>
    <w:rsid w:val="0017526C"/>
    <w:rsid w:val="001B2961"/>
    <w:rsid w:val="001C3CC1"/>
    <w:rsid w:val="0028188E"/>
    <w:rsid w:val="002A7F94"/>
    <w:rsid w:val="002B6A79"/>
    <w:rsid w:val="002E601F"/>
    <w:rsid w:val="002F1CEC"/>
    <w:rsid w:val="002F28D6"/>
    <w:rsid w:val="00301698"/>
    <w:rsid w:val="00331106"/>
    <w:rsid w:val="00353BB5"/>
    <w:rsid w:val="0039539A"/>
    <w:rsid w:val="003D65A7"/>
    <w:rsid w:val="00434DE1"/>
    <w:rsid w:val="00503777"/>
    <w:rsid w:val="005325B5"/>
    <w:rsid w:val="00551C2F"/>
    <w:rsid w:val="005739CC"/>
    <w:rsid w:val="005D1EF0"/>
    <w:rsid w:val="00605890"/>
    <w:rsid w:val="00637A24"/>
    <w:rsid w:val="006836C1"/>
    <w:rsid w:val="006C469A"/>
    <w:rsid w:val="006D136A"/>
    <w:rsid w:val="006E781B"/>
    <w:rsid w:val="00710A8C"/>
    <w:rsid w:val="00765348"/>
    <w:rsid w:val="007E628C"/>
    <w:rsid w:val="00813C02"/>
    <w:rsid w:val="00840A8F"/>
    <w:rsid w:val="008738EE"/>
    <w:rsid w:val="008748CB"/>
    <w:rsid w:val="008B1F7D"/>
    <w:rsid w:val="008C72E8"/>
    <w:rsid w:val="008D1FAD"/>
    <w:rsid w:val="008E149E"/>
    <w:rsid w:val="008E36FA"/>
    <w:rsid w:val="008E5AE8"/>
    <w:rsid w:val="00924D1C"/>
    <w:rsid w:val="00926E6C"/>
    <w:rsid w:val="009A0276"/>
    <w:rsid w:val="00A442B2"/>
    <w:rsid w:val="00A667AA"/>
    <w:rsid w:val="00A83C2A"/>
    <w:rsid w:val="00AD5DD6"/>
    <w:rsid w:val="00AE271B"/>
    <w:rsid w:val="00B07F27"/>
    <w:rsid w:val="00B256B1"/>
    <w:rsid w:val="00B8150D"/>
    <w:rsid w:val="00B97759"/>
    <w:rsid w:val="00BA185C"/>
    <w:rsid w:val="00BC0A9A"/>
    <w:rsid w:val="00BD3EB9"/>
    <w:rsid w:val="00C04809"/>
    <w:rsid w:val="00C125CC"/>
    <w:rsid w:val="00C23742"/>
    <w:rsid w:val="00C4362E"/>
    <w:rsid w:val="00CA7EC2"/>
    <w:rsid w:val="00CC3F79"/>
    <w:rsid w:val="00CC7D6F"/>
    <w:rsid w:val="00D450C7"/>
    <w:rsid w:val="00D65F8C"/>
    <w:rsid w:val="00D86073"/>
    <w:rsid w:val="00DA5E9B"/>
    <w:rsid w:val="00E16053"/>
    <w:rsid w:val="00E60B87"/>
    <w:rsid w:val="00E72AD4"/>
    <w:rsid w:val="00E92A0E"/>
    <w:rsid w:val="00EE7A32"/>
    <w:rsid w:val="00F31E20"/>
    <w:rsid w:val="00F5737B"/>
    <w:rsid w:val="00F627BE"/>
    <w:rsid w:val="00FA30B0"/>
    <w:rsid w:val="00FD1EA6"/>
    <w:rsid w:val="2A383867"/>
    <w:rsid w:val="38580007"/>
    <w:rsid w:val="45DE76C0"/>
    <w:rsid w:val="48B87C5F"/>
    <w:rsid w:val="617F7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C1F156"/>
  <w15:docId w15:val="{D7166CE7-EBF1-44BF-8456-461722EC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37E1B"/>
    <w:rPr>
      <w:sz w:val="18"/>
      <w:szCs w:val="18"/>
    </w:rPr>
  </w:style>
  <w:style w:type="character" w:customStyle="1" w:styleId="a4">
    <w:name w:val="批注框文本 字符"/>
    <w:basedOn w:val="a0"/>
    <w:link w:val="a3"/>
    <w:rsid w:val="00037E1B"/>
    <w:rPr>
      <w:kern w:val="2"/>
      <w:sz w:val="18"/>
      <w:szCs w:val="18"/>
    </w:rPr>
  </w:style>
  <w:style w:type="paragraph" w:styleId="a5">
    <w:name w:val="header"/>
    <w:basedOn w:val="a"/>
    <w:link w:val="a6"/>
    <w:rsid w:val="0028188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8188E"/>
    <w:rPr>
      <w:kern w:val="2"/>
      <w:sz w:val="18"/>
      <w:szCs w:val="18"/>
    </w:rPr>
  </w:style>
  <w:style w:type="paragraph" w:styleId="a7">
    <w:name w:val="footer"/>
    <w:basedOn w:val="a"/>
    <w:link w:val="a8"/>
    <w:rsid w:val="0028188E"/>
    <w:pPr>
      <w:tabs>
        <w:tab w:val="center" w:pos="4153"/>
        <w:tab w:val="right" w:pos="8306"/>
      </w:tabs>
      <w:snapToGrid w:val="0"/>
      <w:jc w:val="left"/>
    </w:pPr>
    <w:rPr>
      <w:sz w:val="18"/>
      <w:szCs w:val="18"/>
    </w:rPr>
  </w:style>
  <w:style w:type="character" w:customStyle="1" w:styleId="a8">
    <w:name w:val="页脚 字符"/>
    <w:basedOn w:val="a0"/>
    <w:link w:val="a7"/>
    <w:rsid w:val="0028188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付先生</dc:creator>
  <cp:lastModifiedBy>Admin</cp:lastModifiedBy>
  <cp:revision>41</cp:revision>
  <cp:lastPrinted>2025-05-09T06:04:00Z</cp:lastPrinted>
  <dcterms:created xsi:type="dcterms:W3CDTF">2025-03-25T02:47:00Z</dcterms:created>
  <dcterms:modified xsi:type="dcterms:W3CDTF">2026-08-21T02:35:00Z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3C6D30C4CA7548899776A315A76031FE_11</vt:lpwstr>
  </property>
  <property fmtid="{D5CDD505-2E9C-101B-9397-08002B2CF9AE}" pid="4" name="KSOTemplateDocerSaveRecord">
    <vt:lpwstr>eyJoZGlkIjoiODNhODMwMGFhZmI3MzNjODBmNTBmMmQ4MWVkYzY4MTEiLCJ1c2VySWQiOiI4MDcwNzM4ODYifQ==</vt:lpwstr>
  </property>
</Properties>
</file>