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2CF43" w14:textId="2086423B" w:rsidR="00840A8F" w:rsidRDefault="00840A8F">
      <w:pPr>
        <w:jc w:val="center"/>
        <w:rPr>
          <w:rFonts w:ascii="方正小标宋简体" w:eastAsia="方正小标宋简体" w:hAnsi="方正小标宋简体" w:cs="方正小标宋简体"/>
          <w:sz w:val="36"/>
          <w:szCs w:val="36"/>
        </w:rPr>
      </w:pPr>
    </w:p>
    <w:p w14:paraId="7141DC0C" w14:textId="77777777" w:rsidR="00840A8F" w:rsidRDefault="00840A8F">
      <w:pPr>
        <w:jc w:val="center"/>
        <w:rPr>
          <w:rFonts w:ascii="方正小标宋简体" w:eastAsia="方正小标宋简体" w:hAnsi="方正小标宋简体" w:cs="方正小标宋简体"/>
          <w:sz w:val="36"/>
          <w:szCs w:val="36"/>
        </w:rPr>
      </w:pPr>
    </w:p>
    <w:p w14:paraId="26F29817" w14:textId="1644ADD2" w:rsidR="00840A8F" w:rsidRDefault="00F627BE">
      <w:pPr>
        <w:jc w:val="center"/>
        <w:rPr>
          <w:rFonts w:ascii="方正小标宋简体" w:eastAsia="方正小标宋简体" w:hAnsi="方正小标宋简体" w:cs="方正小标宋简体"/>
          <w:sz w:val="36"/>
          <w:szCs w:val="36"/>
        </w:rPr>
      </w:pPr>
      <w:r w:rsidRPr="00F627BE">
        <w:rPr>
          <w:rFonts w:ascii="等线" w:eastAsia="等线" w:hAnsi="等线" w:cs="Times New Roman"/>
          <w:noProof/>
          <w:szCs w:val="22"/>
        </w:rPr>
        <mc:AlternateContent>
          <mc:Choice Requires="wpg">
            <w:drawing>
              <wp:anchor distT="0" distB="0" distL="114300" distR="114300" simplePos="0" relativeHeight="251659264" behindDoc="0" locked="0" layoutInCell="1" allowOverlap="1" wp14:anchorId="63CD0477" wp14:editId="37745734">
                <wp:simplePos x="0" y="0"/>
                <wp:positionH relativeFrom="page">
                  <wp:posOffset>713105</wp:posOffset>
                </wp:positionH>
                <wp:positionV relativeFrom="page">
                  <wp:posOffset>1073150</wp:posOffset>
                </wp:positionV>
                <wp:extent cx="6159600" cy="8888400"/>
                <wp:effectExtent l="0" t="0" r="31750" b="27305"/>
                <wp:wrapNone/>
                <wp:docPr id="6" name="组合 6"/>
                <wp:cNvGraphicFramePr/>
                <a:graphic xmlns:a="http://schemas.openxmlformats.org/drawingml/2006/main">
                  <a:graphicData uri="http://schemas.microsoft.com/office/word/2010/wordprocessingGroup">
                    <wpg:wgp>
                      <wpg:cNvGrpSpPr/>
                      <wpg:grpSpPr>
                        <a:xfrm>
                          <a:off x="0" y="0"/>
                          <a:ext cx="6159600" cy="8888400"/>
                          <a:chOff x="0" y="0"/>
                          <a:chExt cx="6160119" cy="8887557"/>
                        </a:xfrm>
                      </wpg:grpSpPr>
                      <wps:wsp>
                        <wps:cNvPr id="1" name="矩形 1"/>
                        <wps:cNvSpPr/>
                        <wps:spPr>
                          <a:xfrm>
                            <a:off x="0" y="1050324"/>
                            <a:ext cx="6155690" cy="35560"/>
                          </a:xfrm>
                          <a:prstGeom prst="rect">
                            <a:avLst/>
                          </a:prstGeom>
                          <a:solidFill>
                            <a:srgbClr val="FF0000"/>
                          </a:solidFill>
                          <a:ln w="31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直接连接符 2"/>
                        <wps:cNvCnPr/>
                        <wps:spPr>
                          <a:xfrm flipV="1">
                            <a:off x="0" y="1153297"/>
                            <a:ext cx="6155690" cy="7620"/>
                          </a:xfrm>
                          <a:prstGeom prst="line">
                            <a:avLst/>
                          </a:prstGeom>
                          <a:noFill/>
                          <a:ln w="12700" cap="flat" cmpd="sng" algn="ctr">
                            <a:solidFill>
                              <a:srgbClr val="FF0000"/>
                            </a:solidFill>
                            <a:prstDash val="solid"/>
                            <a:miter lim="800000"/>
                          </a:ln>
                          <a:effectLst/>
                        </wps:spPr>
                        <wps:bodyPr/>
                      </wps:wsp>
                      <wps:wsp>
                        <wps:cNvPr id="3" name="文本框 3"/>
                        <wps:cNvSpPr txBox="1"/>
                        <wps:spPr>
                          <a:xfrm>
                            <a:off x="337751" y="0"/>
                            <a:ext cx="5472000" cy="974725"/>
                          </a:xfrm>
                          <a:prstGeom prst="rect">
                            <a:avLst/>
                          </a:prstGeom>
                          <a:noFill/>
                          <a:ln>
                            <a:noFill/>
                          </a:ln>
                        </wps:spPr>
                        <wps:txbx>
                          <w:txbxContent>
                            <w:p w14:paraId="65902EA6" w14:textId="77777777" w:rsidR="00F627BE" w:rsidRPr="00794B6B" w:rsidRDefault="00F627BE" w:rsidP="00F627BE">
                              <w:pPr>
                                <w:jc w:val="center"/>
                                <w:rPr>
                                  <w:rFonts w:ascii="方正小标宋_GBK" w:eastAsia="方正小标宋_GBK"/>
                                  <w:noProof/>
                                  <w:color w:val="FF0000"/>
                                  <w:spacing w:val="20"/>
                                  <w:sz w:val="72"/>
                                  <w:szCs w:val="72"/>
                                  <w14:textOutline w14:w="0" w14:cap="flat" w14:cmpd="sng" w14:algn="ctr">
                                    <w14:noFill/>
                                    <w14:prstDash w14:val="solid"/>
                                    <w14:round/>
                                  </w14:textOutline>
                                </w:rPr>
                              </w:pPr>
                              <w:r w:rsidRPr="00794B6B">
                                <w:rPr>
                                  <w:rFonts w:ascii="方正小标宋_GBK" w:eastAsia="方正小标宋_GBK" w:hint="eastAsia"/>
                                  <w:noProof/>
                                  <w:color w:val="FF0000"/>
                                  <w:spacing w:val="20"/>
                                  <w:sz w:val="72"/>
                                  <w:szCs w:val="72"/>
                                  <w14:textOutline w14:w="0" w14:cap="flat" w14:cmpd="sng" w14:algn="ctr">
                                    <w14:noFill/>
                                    <w14:prstDash w14:val="solid"/>
                                    <w14:round/>
                                  </w14:textOutline>
                                </w:rPr>
                                <w:t>长春市生态环境局</w:t>
                              </w:r>
                            </w:p>
                          </w:txbxContent>
                        </wps:txbx>
                        <wps:bodyPr rot="0" spcFirstLastPara="0" vertOverflow="overflow" horzOverflow="overflow" vert="horz" wrap="square" lIns="91440" tIns="45720" rIns="91440" bIns="45720" numCol="1" spcCol="0" rtlCol="0" fromWordArt="0" anchor="t" anchorCtr="0" forceAA="0" compatLnSpc="1">
                          <a:prstTxWarp prst="textPlain">
                            <a:avLst/>
                          </a:prstTxWarp>
                          <a:noAutofit/>
                        </wps:bodyPr>
                      </wps:wsp>
                      <wps:wsp>
                        <wps:cNvPr id="4" name="矩形 4"/>
                        <wps:cNvSpPr/>
                        <wps:spPr>
                          <a:xfrm>
                            <a:off x="4119" y="8851557"/>
                            <a:ext cx="6156000" cy="36000"/>
                          </a:xfrm>
                          <a:prstGeom prst="rect">
                            <a:avLst/>
                          </a:prstGeom>
                          <a:solidFill>
                            <a:srgbClr val="FF0000"/>
                          </a:solidFill>
                          <a:ln w="3175" cap="flat" cmpd="sng" algn="ctr">
                            <a:solidFill>
                              <a:srgbClr val="FF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直接连接符 5"/>
                        <wps:cNvCnPr/>
                        <wps:spPr>
                          <a:xfrm flipV="1">
                            <a:off x="4119" y="8777416"/>
                            <a:ext cx="6155690" cy="7620"/>
                          </a:xfrm>
                          <a:prstGeom prst="line">
                            <a:avLst/>
                          </a:prstGeom>
                          <a:noFill/>
                          <a:ln w="12700" cap="flat" cmpd="sng" algn="ctr">
                            <a:solidFill>
                              <a:srgbClr val="FF0000"/>
                            </a:solidFill>
                            <a:prstDash val="solid"/>
                            <a:miter lim="800000"/>
                          </a:ln>
                          <a:effectLst/>
                        </wps:spPr>
                        <wps:bodyPr/>
                      </wps:wsp>
                    </wpg:wgp>
                  </a:graphicData>
                </a:graphic>
                <wp14:sizeRelH relativeFrom="margin">
                  <wp14:pctWidth>0</wp14:pctWidth>
                </wp14:sizeRelH>
                <wp14:sizeRelV relativeFrom="margin">
                  <wp14:pctHeight>0</wp14:pctHeight>
                </wp14:sizeRelV>
              </wp:anchor>
            </w:drawing>
          </mc:Choice>
          <mc:Fallback>
            <w:pict>
              <v:group w14:anchorId="63CD0477" id="组合 6" o:spid="_x0000_s1026" style="position:absolute;left:0;text-align:left;margin-left:56.15pt;margin-top:84.5pt;width:485pt;height:699.85pt;z-index:251659264;mso-position-horizontal-relative:page;mso-position-vertical-relative:page;mso-width-relative:margin;mso-height-relative:margin" coordsize="61601,88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">
                <v:rect id="矩形 1" o:spid="_x0000_s1027" style="position:absolute;top:10503;width:61556;height:3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" fillcolor="red" strokecolor="red" strokeweight=".25pt"/>
                <v:line id="直接连接符 2" o:spid="_x0000_s1028" style="position:absolute;flip:y;visibility:visible;mso-wrap-style:square" from="0,11532" to="61556,116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" strokecolor="red" strokeweight="1pt">
                  <v:stroke joinstyle="miter"/>
                </v:line>
                <v:shapetype id="_x0000_t202" coordsize="21600,21600" o:spt="202" path="m,l,21600r21600,l21600,xe">
                  <v:stroke joinstyle="miter"/>
                  <v:path gradientshapeok="t" o:connecttype="rect"/>
                </v:shapetype>
                <v:shape id="文本框 3" o:spid="_x0000_s1029" type="#_x0000_t202" style="position:absolute;left:3377;width:54720;height:9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" filled="f" stroked="f">
                  <v:textbox>
                    <w:txbxContent>
                      <w:p w14:paraId="65902EA6" w14:textId="77777777" w:rsidR="00F627BE" w:rsidRPr="00794B6B" w:rsidRDefault="00F627BE" w:rsidP="00F627BE">
                        <w:pPr>
                          <w:jc w:val="center"/>
                          <w:rPr>
                            <w:rFonts w:ascii="方正小标宋_GBK" w:eastAsia="方正小标宋_GBK"/>
                            <w:noProof/>
                            <w:color w:val="FF0000"/>
                            <w:spacing w:val="20"/>
                            <w:sz w:val="72"/>
                            <w:szCs w:val="72"/>
                            <w14:textOutline w14:w="0" w14:cap="flat" w14:cmpd="sng" w14:algn="ctr">
                              <w14:noFill/>
                              <w14:prstDash w14:val="solid"/>
                              <w14:round/>
                            </w14:textOutline>
                          </w:rPr>
                        </w:pPr>
                        <w:r w:rsidRPr="00794B6B">
                          <w:rPr>
                            <w:rFonts w:ascii="方正小标宋_GBK" w:eastAsia="方正小标宋_GBK" w:hint="eastAsia"/>
                            <w:noProof/>
                            <w:color w:val="FF0000"/>
                            <w:spacing w:val="20"/>
                            <w:sz w:val="72"/>
                            <w:szCs w:val="72"/>
                            <w14:textOutline w14:w="0" w14:cap="flat" w14:cmpd="sng" w14:algn="ctr">
                              <w14:noFill/>
                              <w14:prstDash w14:val="solid"/>
                              <w14:round/>
                            </w14:textOutline>
                          </w:rPr>
                          <w:t>长春市生态环境局</w:t>
                        </w:r>
                      </w:p>
                    </w:txbxContent>
                  </v:textbox>
                </v:shape>
                <v:rect id="矩形 4" o:spid="_x0000_s1030" style="position:absolute;left:41;top:88515;width:61560;height:3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" fillcolor="red" strokecolor="red" strokeweight=".25pt"/>
                <v:line id="直接连接符 5" o:spid="_x0000_s1031" style="position:absolute;flip:y;visibility:visible;mso-wrap-style:square" from="41,87774" to="61598,878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" strokecolor="red" strokeweight="1pt">
                  <v:stroke joinstyle="miter"/>
                </v:line>
                <w10:wrap anchorx="page" anchory="page"/>
              </v:group>
            </w:pict>
          </mc:Fallback>
        </mc:AlternateContent>
      </w:r>
    </w:p>
    <w:p w14:paraId="2F75AD12" w14:textId="70F2BFF4" w:rsidR="00037E1B" w:rsidRDefault="00D65F8C" w:rsidP="00037E1B">
      <w:pPr>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长环</w:t>
      </w:r>
      <w:proofErr w:type="gramStart"/>
      <w:r>
        <w:rPr>
          <w:rFonts w:ascii="仿宋_GB2312" w:eastAsia="仿宋_GB2312" w:hAnsi="仿宋_GB2312" w:cs="仿宋_GB2312" w:hint="eastAsia"/>
          <w:sz w:val="32"/>
          <w:szCs w:val="32"/>
        </w:rPr>
        <w:t>辐</w:t>
      </w:r>
      <w:proofErr w:type="gramEnd"/>
      <w:r>
        <w:rPr>
          <w:rFonts w:ascii="仿宋_GB2312" w:eastAsia="仿宋_GB2312" w:hAnsi="仿宋_GB2312" w:cs="仿宋_GB2312" w:hint="eastAsia"/>
          <w:sz w:val="32"/>
          <w:szCs w:val="32"/>
        </w:rPr>
        <w:t>建（表）〔2</w:t>
      </w:r>
      <w:r>
        <w:rPr>
          <w:rFonts w:ascii="仿宋_GB2312" w:eastAsia="仿宋_GB2312" w:hAnsi="仿宋_GB2312" w:cs="仿宋_GB2312"/>
          <w:sz w:val="32"/>
          <w:szCs w:val="32"/>
        </w:rPr>
        <w:t>02</w:t>
      </w:r>
      <w:r w:rsidR="00C4362E">
        <w:rPr>
          <w:rFonts w:ascii="仿宋_GB2312" w:eastAsia="仿宋_GB2312" w:hAnsi="仿宋_GB2312" w:cs="仿宋_GB2312"/>
          <w:sz w:val="32"/>
          <w:szCs w:val="32"/>
        </w:rPr>
        <w:t>6</w:t>
      </w:r>
      <w:r>
        <w:rPr>
          <w:rFonts w:ascii="仿宋_GB2312" w:eastAsia="仿宋_GB2312" w:hAnsi="仿宋_GB2312" w:cs="仿宋_GB2312" w:hint="eastAsia"/>
          <w:sz w:val="32"/>
          <w:szCs w:val="32"/>
        </w:rPr>
        <w:t>〕</w:t>
      </w:r>
      <w:r w:rsidR="00434DE1">
        <w:rPr>
          <w:rFonts w:ascii="仿宋_GB2312" w:eastAsia="仿宋_GB2312" w:hAnsi="仿宋_GB2312" w:cs="仿宋_GB2312"/>
          <w:sz w:val="32"/>
          <w:szCs w:val="32"/>
        </w:rPr>
        <w:t>1</w:t>
      </w:r>
      <w:r w:rsidR="00571DE2">
        <w:rPr>
          <w:rFonts w:ascii="仿宋_GB2312" w:eastAsia="仿宋_GB2312" w:hAnsi="仿宋_GB2312" w:cs="仿宋_GB2312"/>
          <w:sz w:val="32"/>
          <w:szCs w:val="32"/>
        </w:rPr>
        <w:t>9</w:t>
      </w:r>
      <w:r>
        <w:rPr>
          <w:rFonts w:ascii="仿宋_GB2312" w:eastAsia="仿宋_GB2312" w:hAnsi="仿宋_GB2312" w:cs="仿宋_GB2312" w:hint="eastAsia"/>
          <w:sz w:val="32"/>
          <w:szCs w:val="32"/>
        </w:rPr>
        <w:t>号</w:t>
      </w:r>
    </w:p>
    <w:p w14:paraId="09D6BECA" w14:textId="77777777" w:rsidR="00037E1B" w:rsidRPr="00037E1B" w:rsidRDefault="00037E1B" w:rsidP="00037E1B">
      <w:pPr>
        <w:jc w:val="right"/>
        <w:rPr>
          <w:rFonts w:ascii="仿宋_GB2312" w:eastAsia="仿宋_GB2312" w:hAnsi="仿宋_GB2312" w:cs="仿宋_GB2312"/>
          <w:sz w:val="32"/>
          <w:szCs w:val="32"/>
        </w:rPr>
      </w:pPr>
    </w:p>
    <w:p w14:paraId="605C6DC3" w14:textId="626CEC33" w:rsidR="00840A8F" w:rsidRPr="00924D1C" w:rsidRDefault="00571DE2" w:rsidP="00924D1C">
      <w:pPr>
        <w:adjustRightInd w:val="0"/>
        <w:snapToGrid w:val="0"/>
        <w:jc w:val="center"/>
        <w:rPr>
          <w:rFonts w:ascii="方正小标宋简体" w:eastAsia="方正小标宋简体" w:hAnsi="方正小标宋简体" w:cs="方正小标宋简体"/>
          <w:sz w:val="44"/>
          <w:szCs w:val="44"/>
        </w:rPr>
      </w:pPr>
      <w:r w:rsidRPr="00571DE2">
        <w:rPr>
          <w:rFonts w:ascii="方正小标宋简体" w:eastAsia="方正小标宋简体" w:hAnsi="方正小标宋简体" w:cs="方正小标宋简体" w:hint="eastAsia"/>
          <w:sz w:val="44"/>
          <w:szCs w:val="44"/>
        </w:rPr>
        <w:t>关于吉林农安100MW/400MWh独立储能项目生态环境影响报告表的批复</w:t>
      </w:r>
    </w:p>
    <w:p w14:paraId="26D084E1" w14:textId="77777777" w:rsidR="00840A8F" w:rsidRDefault="00840A8F">
      <w:pPr>
        <w:ind w:firstLineChars="200" w:firstLine="640"/>
        <w:rPr>
          <w:rFonts w:ascii="仿宋_GB2312" w:eastAsia="仿宋_GB2312" w:hAnsi="仿宋_GB2312" w:cs="仿宋_GB2312"/>
          <w:sz w:val="32"/>
          <w:szCs w:val="32"/>
        </w:rPr>
      </w:pPr>
    </w:p>
    <w:p w14:paraId="3716C8AF" w14:textId="07254399" w:rsidR="00840A8F" w:rsidRDefault="00571DE2" w:rsidP="00926E6C">
      <w:pPr>
        <w:rPr>
          <w:rFonts w:ascii="仿宋_GB2312" w:eastAsia="仿宋_GB2312" w:hAnsi="仿宋_GB2312" w:cs="仿宋_GB2312"/>
          <w:sz w:val="32"/>
          <w:szCs w:val="32"/>
        </w:rPr>
      </w:pPr>
      <w:r w:rsidRPr="00571DE2">
        <w:rPr>
          <w:rFonts w:ascii="仿宋_GB2312" w:eastAsia="仿宋_GB2312" w:hAnsi="仿宋_GB2312" w:cs="仿宋_GB2312" w:hint="eastAsia"/>
          <w:sz w:val="32"/>
          <w:szCs w:val="32"/>
        </w:rPr>
        <w:t>吉林省</w:t>
      </w:r>
      <w:proofErr w:type="gramStart"/>
      <w:r w:rsidRPr="00571DE2">
        <w:rPr>
          <w:rFonts w:ascii="仿宋_GB2312" w:eastAsia="仿宋_GB2312" w:hAnsi="仿宋_GB2312" w:cs="仿宋_GB2312" w:hint="eastAsia"/>
          <w:sz w:val="32"/>
          <w:szCs w:val="32"/>
        </w:rPr>
        <w:t>龙盛源储能</w:t>
      </w:r>
      <w:proofErr w:type="gramEnd"/>
      <w:r w:rsidRPr="00571DE2">
        <w:rPr>
          <w:rFonts w:ascii="仿宋_GB2312" w:eastAsia="仿宋_GB2312" w:hAnsi="仿宋_GB2312" w:cs="仿宋_GB2312" w:hint="eastAsia"/>
          <w:sz w:val="32"/>
          <w:szCs w:val="32"/>
        </w:rPr>
        <w:t>技术有限公司</w:t>
      </w:r>
      <w:r w:rsidR="000A1460">
        <w:rPr>
          <w:rFonts w:ascii="仿宋_GB2312" w:eastAsia="仿宋_GB2312" w:hAnsi="仿宋_GB2312" w:cs="仿宋_GB2312" w:hint="eastAsia"/>
          <w:sz w:val="32"/>
          <w:szCs w:val="32"/>
        </w:rPr>
        <w:t>：</w:t>
      </w:r>
    </w:p>
    <w:p w14:paraId="25ABEF41" w14:textId="6BA2138A" w:rsidR="00126E21" w:rsidRPr="00126E21" w:rsidRDefault="00571DE2" w:rsidP="00126E21">
      <w:pPr>
        <w:ind w:firstLineChars="200" w:firstLine="640"/>
        <w:rPr>
          <w:rFonts w:ascii="仿宋_GB2312" w:eastAsia="仿宋_GB2312" w:hAnsi="仿宋_GB2312" w:cs="仿宋_GB2312"/>
          <w:sz w:val="32"/>
          <w:szCs w:val="32"/>
        </w:rPr>
      </w:pPr>
      <w:r w:rsidRPr="00571DE2">
        <w:rPr>
          <w:rFonts w:ascii="仿宋_GB2312" w:eastAsia="仿宋_GB2312" w:hAnsi="仿宋_GB2312" w:cs="仿宋_GB2312" w:hint="eastAsia"/>
          <w:sz w:val="32"/>
          <w:szCs w:val="32"/>
        </w:rPr>
        <w:t>你单位报送的《吉林农安100MW/400MWh独立储能项目生态环境影响报告表审批的申请》及相关材料收悉。根据生态环境影响报告表的评价结论和长春市环境工程评估中心的评估意见，经研究，批复如下：</w:t>
      </w:r>
    </w:p>
    <w:p w14:paraId="068D8311" w14:textId="3B6B2D09" w:rsidR="00924D1C" w:rsidRPr="00924D1C" w:rsidRDefault="00571DE2" w:rsidP="00126E21">
      <w:pPr>
        <w:ind w:firstLineChars="200" w:firstLine="640"/>
        <w:rPr>
          <w:rFonts w:ascii="仿宋_GB2312" w:eastAsia="仿宋_GB2312" w:hAnsi="仿宋_GB2312" w:cs="仿宋_GB2312"/>
          <w:sz w:val="32"/>
          <w:szCs w:val="32"/>
        </w:rPr>
      </w:pPr>
      <w:r w:rsidRPr="00571DE2">
        <w:rPr>
          <w:rFonts w:ascii="仿宋_GB2312" w:eastAsia="仿宋_GB2312" w:hAnsi="仿宋_GB2312" w:cs="仿宋_GB2312" w:hint="eastAsia"/>
          <w:sz w:val="32"/>
          <w:szCs w:val="32"/>
        </w:rPr>
        <w:t>一、项目建设地点位于吉林省长春市农安县三岗镇河西村境内。主要建设内容为新建1座220kV升压站，安装1台100MVA主变和1台SVG，220千伏出线1回，35千伏出线1回，新建1座60m</w:t>
      </w:r>
      <w:r w:rsidRPr="007101F7">
        <w:rPr>
          <w:rFonts w:ascii="仿宋_GB2312" w:eastAsia="仿宋_GB2312" w:hAnsi="仿宋_GB2312" w:cs="仿宋_GB2312" w:hint="eastAsia"/>
          <w:sz w:val="32"/>
          <w:szCs w:val="32"/>
          <w:vertAlign w:val="superscript"/>
        </w:rPr>
        <w:t>3</w:t>
      </w:r>
      <w:r w:rsidRPr="00571DE2">
        <w:rPr>
          <w:rFonts w:ascii="仿宋_GB2312" w:eastAsia="仿宋_GB2312" w:hAnsi="仿宋_GB2312" w:cs="仿宋_GB2312" w:hint="eastAsia"/>
          <w:sz w:val="32"/>
          <w:szCs w:val="32"/>
        </w:rPr>
        <w:t>（有效容积）事故油池。并建设100MW/400MWh磷酸铁锂储能系统（由20套储能单元组成，每个储能单元为5MW/20MWh）、</w:t>
      </w:r>
      <w:proofErr w:type="gramStart"/>
      <w:r w:rsidRPr="00571DE2">
        <w:rPr>
          <w:rFonts w:ascii="仿宋_GB2312" w:eastAsia="仿宋_GB2312" w:hAnsi="仿宋_GB2312" w:cs="仿宋_GB2312" w:hint="eastAsia"/>
          <w:sz w:val="32"/>
          <w:szCs w:val="32"/>
        </w:rPr>
        <w:t>1处危废暂存</w:t>
      </w:r>
      <w:proofErr w:type="gramEnd"/>
      <w:r w:rsidRPr="00571DE2">
        <w:rPr>
          <w:rFonts w:ascii="仿宋_GB2312" w:eastAsia="仿宋_GB2312" w:hAnsi="仿宋_GB2312" w:cs="仿宋_GB2312" w:hint="eastAsia"/>
          <w:sz w:val="32"/>
          <w:szCs w:val="32"/>
        </w:rPr>
        <w:t>点、综合楼及附属用房。项目总投资38000万元，其中环保投资107万元。</w:t>
      </w:r>
    </w:p>
    <w:p w14:paraId="09F71458" w14:textId="482765A2" w:rsidR="00126E21" w:rsidRPr="00126E21" w:rsidRDefault="00571DE2" w:rsidP="00126E21">
      <w:pPr>
        <w:ind w:firstLineChars="200" w:firstLine="640"/>
        <w:rPr>
          <w:rFonts w:ascii="仿宋_GB2312" w:eastAsia="仿宋_GB2312" w:hAnsi="仿宋_GB2312" w:cs="仿宋_GB2312"/>
          <w:sz w:val="32"/>
          <w:szCs w:val="32"/>
        </w:rPr>
      </w:pPr>
      <w:r w:rsidRPr="00571DE2">
        <w:rPr>
          <w:rFonts w:ascii="仿宋_GB2312" w:eastAsia="仿宋_GB2312" w:hAnsi="仿宋_GB2312" w:cs="仿宋_GB2312" w:hint="eastAsia"/>
          <w:sz w:val="32"/>
          <w:szCs w:val="32"/>
        </w:rPr>
        <w:lastRenderedPageBreak/>
        <w:t>二、该项目通过专家评审，经审查认为吉林省正源环保科技有限公司编制的生态环境影响报告表符合有关技术要求，评价结论可信。鉴于农安县自然资源局已明确该项目不占用黑土耕地，我局原则同意该项目生态环境影响报告表结论及所提出的生态环境保护措施。</w:t>
      </w:r>
    </w:p>
    <w:p w14:paraId="54F933CF" w14:textId="77777777" w:rsidR="00434DE1" w:rsidRPr="00434DE1" w:rsidRDefault="00434DE1" w:rsidP="00434DE1">
      <w:pPr>
        <w:ind w:firstLineChars="200" w:firstLine="640"/>
        <w:rPr>
          <w:rFonts w:ascii="仿宋_GB2312" w:eastAsia="仿宋_GB2312" w:hAnsi="仿宋_GB2312" w:cs="仿宋_GB2312"/>
          <w:sz w:val="32"/>
          <w:szCs w:val="32"/>
        </w:rPr>
      </w:pPr>
      <w:r w:rsidRPr="00434DE1">
        <w:rPr>
          <w:rFonts w:ascii="仿宋_GB2312" w:eastAsia="仿宋_GB2312" w:hAnsi="仿宋_GB2312" w:cs="仿宋_GB2312" w:hint="eastAsia"/>
          <w:sz w:val="32"/>
          <w:szCs w:val="32"/>
        </w:rPr>
        <w:t>三、项目建设和运行中应重点做好以下环境保护工作：</w:t>
      </w:r>
    </w:p>
    <w:p w14:paraId="7D42381D" w14:textId="77777777" w:rsidR="00571DE2" w:rsidRPr="00571DE2" w:rsidRDefault="00571DE2" w:rsidP="00571DE2">
      <w:pPr>
        <w:ind w:firstLineChars="200" w:firstLine="640"/>
        <w:rPr>
          <w:rFonts w:ascii="仿宋_GB2312" w:eastAsia="仿宋_GB2312" w:hAnsi="仿宋_GB2312" w:cs="仿宋_GB2312"/>
          <w:sz w:val="32"/>
          <w:szCs w:val="32"/>
        </w:rPr>
      </w:pPr>
      <w:r w:rsidRPr="00571DE2">
        <w:rPr>
          <w:rFonts w:ascii="仿宋_GB2312" w:eastAsia="仿宋_GB2312" w:hAnsi="仿宋_GB2312" w:cs="仿宋_GB2312" w:hint="eastAsia"/>
          <w:sz w:val="32"/>
          <w:szCs w:val="32"/>
        </w:rPr>
        <w:t>（一）加强施工期的生态环境保护工作，采取有效防尘、降噪措施，施工过程中产生的固体垃圾应分类集中堆放，及时清运。</w:t>
      </w:r>
    </w:p>
    <w:p w14:paraId="706FA3D9" w14:textId="77777777" w:rsidR="00571DE2" w:rsidRPr="00571DE2" w:rsidRDefault="00571DE2" w:rsidP="00571DE2">
      <w:pPr>
        <w:ind w:firstLineChars="200" w:firstLine="640"/>
        <w:rPr>
          <w:rFonts w:ascii="仿宋_GB2312" w:eastAsia="仿宋_GB2312" w:hAnsi="仿宋_GB2312" w:cs="仿宋_GB2312"/>
          <w:sz w:val="32"/>
          <w:szCs w:val="32"/>
        </w:rPr>
      </w:pPr>
      <w:r w:rsidRPr="00571DE2">
        <w:rPr>
          <w:rFonts w:ascii="仿宋_GB2312" w:eastAsia="仿宋_GB2312" w:hAnsi="仿宋_GB2312" w:cs="仿宋_GB2312" w:hint="eastAsia"/>
          <w:sz w:val="32"/>
          <w:szCs w:val="32"/>
        </w:rPr>
        <w:t>（二）落实电磁环境各项生态环境保护措施，确保升压站投运后周围区域工频电场强度、工频磁感强度符合《电磁环境控制限值》（GB8702-2014）4000伏/米、100微特斯拉的限值要求，并按要求设置警示和防护标志。</w:t>
      </w:r>
    </w:p>
    <w:p w14:paraId="05EDAAA8" w14:textId="77777777" w:rsidR="00571DE2" w:rsidRPr="00571DE2" w:rsidRDefault="00571DE2" w:rsidP="00571DE2">
      <w:pPr>
        <w:ind w:firstLineChars="200" w:firstLine="640"/>
        <w:rPr>
          <w:rFonts w:ascii="仿宋_GB2312" w:eastAsia="仿宋_GB2312" w:hAnsi="仿宋_GB2312" w:cs="仿宋_GB2312"/>
          <w:sz w:val="32"/>
          <w:szCs w:val="32"/>
        </w:rPr>
      </w:pPr>
      <w:r w:rsidRPr="00571DE2">
        <w:rPr>
          <w:rFonts w:ascii="仿宋_GB2312" w:eastAsia="仿宋_GB2312" w:hAnsi="仿宋_GB2312" w:cs="仿宋_GB2312" w:hint="eastAsia"/>
          <w:sz w:val="32"/>
          <w:szCs w:val="32"/>
        </w:rPr>
        <w:t>（三）采取有效的噪声防治措施，确保升压站投运后厂界噪声符合《工业企业厂界环境噪声排放标准》（GB12348－2008）1类标准。</w:t>
      </w:r>
    </w:p>
    <w:p w14:paraId="09B89506" w14:textId="77777777" w:rsidR="00571DE2" w:rsidRPr="00571DE2" w:rsidRDefault="00571DE2" w:rsidP="00571DE2">
      <w:pPr>
        <w:ind w:firstLineChars="200" w:firstLine="640"/>
        <w:rPr>
          <w:rFonts w:ascii="仿宋_GB2312" w:eastAsia="仿宋_GB2312" w:hAnsi="仿宋_GB2312" w:cs="仿宋_GB2312"/>
          <w:sz w:val="32"/>
          <w:szCs w:val="32"/>
        </w:rPr>
      </w:pPr>
      <w:r w:rsidRPr="00571DE2">
        <w:rPr>
          <w:rFonts w:ascii="仿宋_GB2312" w:eastAsia="仿宋_GB2312" w:hAnsi="仿宋_GB2312" w:cs="仿宋_GB2312" w:hint="eastAsia"/>
          <w:sz w:val="32"/>
          <w:szCs w:val="32"/>
        </w:rPr>
        <w:t>（四）升压站检修时产生的废变压器油、废铅蓄电池等危险废物须定期送至具有危险废物处理资质的单位统一处置。危险废物在贮存、转移、运输过程中应严格执行《危险废物贮存污染控制标准》（GB18597-2023）和《危险废物收集、贮存、运输技术规范》（HJ2025-2012）中相关要求，防止产生二次污染。</w:t>
      </w:r>
    </w:p>
    <w:p w14:paraId="0939BE2E" w14:textId="77777777" w:rsidR="00571DE2" w:rsidRPr="00571DE2" w:rsidRDefault="00571DE2" w:rsidP="00571DE2">
      <w:pPr>
        <w:ind w:firstLineChars="200" w:firstLine="640"/>
        <w:rPr>
          <w:rFonts w:ascii="仿宋_GB2312" w:eastAsia="仿宋_GB2312" w:hAnsi="仿宋_GB2312" w:cs="仿宋_GB2312"/>
          <w:sz w:val="32"/>
          <w:szCs w:val="32"/>
        </w:rPr>
      </w:pPr>
      <w:r w:rsidRPr="00571DE2">
        <w:rPr>
          <w:rFonts w:ascii="仿宋_GB2312" w:eastAsia="仿宋_GB2312" w:hAnsi="仿宋_GB2312" w:cs="仿宋_GB2312" w:hint="eastAsia"/>
          <w:sz w:val="32"/>
          <w:szCs w:val="32"/>
        </w:rPr>
        <w:lastRenderedPageBreak/>
        <w:t>（五）储能站产生的废磷酸铁锂电池须委托综合利用，并对受托方的主体资格和技术能力进行核实，依法签订书面合同，在合同中约定污染防治要求。</w:t>
      </w:r>
    </w:p>
    <w:p w14:paraId="662EDC41" w14:textId="0741AAA1" w:rsidR="001B2961" w:rsidRPr="001B2961" w:rsidRDefault="00571DE2" w:rsidP="00571DE2">
      <w:pPr>
        <w:ind w:firstLineChars="200" w:firstLine="640"/>
        <w:rPr>
          <w:rFonts w:ascii="仿宋_GB2312" w:eastAsia="仿宋_GB2312" w:hAnsi="仿宋_GB2312" w:cs="仿宋_GB2312"/>
          <w:sz w:val="32"/>
          <w:szCs w:val="32"/>
        </w:rPr>
      </w:pPr>
      <w:r w:rsidRPr="00571DE2">
        <w:rPr>
          <w:rFonts w:ascii="仿宋_GB2312" w:eastAsia="仿宋_GB2312" w:hAnsi="仿宋_GB2312" w:cs="仿宋_GB2312" w:hint="eastAsia"/>
          <w:sz w:val="32"/>
          <w:szCs w:val="32"/>
        </w:rPr>
        <w:t>（六）加强公众沟通和科普宣传，及时解决公众提出的合理生态环境诉求，及时公开项目建设与生态环境保护信息，主动接受社会监督。</w:t>
      </w:r>
    </w:p>
    <w:p w14:paraId="75299363" w14:textId="77777777" w:rsidR="00571DE2" w:rsidRPr="00571DE2" w:rsidRDefault="00571DE2" w:rsidP="00571DE2">
      <w:pPr>
        <w:ind w:firstLineChars="200" w:firstLine="640"/>
        <w:rPr>
          <w:rFonts w:ascii="仿宋_GB2312" w:eastAsia="仿宋_GB2312" w:hAnsi="仿宋_GB2312" w:cs="仿宋_GB2312"/>
          <w:sz w:val="32"/>
          <w:szCs w:val="32"/>
        </w:rPr>
      </w:pPr>
      <w:r w:rsidRPr="00571DE2">
        <w:rPr>
          <w:rFonts w:ascii="仿宋_GB2312" w:eastAsia="仿宋_GB2312" w:hAnsi="仿宋_GB2312" w:cs="仿宋_GB2312" w:hint="eastAsia"/>
          <w:sz w:val="32"/>
          <w:szCs w:val="32"/>
        </w:rPr>
        <w:t>四、工程建设应严格执行生态环境保护设施与主体工程同时设计、同时施工、同时投入使用的生态环境保护“三同时”制度。项目建成后，须依法进行生态环境保护验收，经验收合格后，方可正式投入运行。</w:t>
      </w:r>
    </w:p>
    <w:p w14:paraId="5708384C" w14:textId="77777777" w:rsidR="00571DE2" w:rsidRPr="00571DE2" w:rsidRDefault="00571DE2" w:rsidP="00571DE2">
      <w:pPr>
        <w:ind w:firstLineChars="200" w:firstLine="640"/>
        <w:rPr>
          <w:rFonts w:ascii="仿宋_GB2312" w:eastAsia="仿宋_GB2312" w:hAnsi="仿宋_GB2312" w:cs="仿宋_GB2312"/>
          <w:sz w:val="32"/>
          <w:szCs w:val="32"/>
        </w:rPr>
      </w:pPr>
      <w:r w:rsidRPr="00571DE2">
        <w:rPr>
          <w:rFonts w:ascii="仿宋_GB2312" w:eastAsia="仿宋_GB2312" w:hAnsi="仿宋_GB2312" w:cs="仿宋_GB2312" w:hint="eastAsia"/>
          <w:sz w:val="32"/>
          <w:szCs w:val="32"/>
        </w:rPr>
        <w:t>五、工程的性质、规模、地点、采用的生产工艺或者防治污染措施发生重大变动的，应当重新报批该项目的生态环境影响评价文件。本批复自批准之日起超过五年，方决定该项目开工建设，生态环境影响报告表应当报我局重新审核。</w:t>
      </w:r>
    </w:p>
    <w:p w14:paraId="1C17F49C" w14:textId="716494D9" w:rsidR="000A1460" w:rsidRDefault="00571DE2" w:rsidP="00571DE2">
      <w:pPr>
        <w:ind w:firstLineChars="200" w:firstLine="640"/>
        <w:rPr>
          <w:rFonts w:ascii="仿宋_GB2312" w:eastAsia="仿宋_GB2312" w:hAnsi="仿宋_GB2312" w:cs="仿宋_GB2312"/>
          <w:sz w:val="32"/>
          <w:szCs w:val="32"/>
        </w:rPr>
      </w:pPr>
      <w:r w:rsidRPr="00571DE2">
        <w:rPr>
          <w:rFonts w:ascii="仿宋_GB2312" w:eastAsia="仿宋_GB2312" w:hAnsi="仿宋_GB2312" w:cs="仿宋_GB2312" w:hint="eastAsia"/>
          <w:sz w:val="32"/>
          <w:szCs w:val="32"/>
        </w:rPr>
        <w:t>六、接此批复后20个工作日内，将生态环境影响报告表及批复文件送至长春市生态环境局农安县分局，并按规定接受各级生态环境行政主管部门的监督检查，请长春市生态环境局农安县分局做好该项目施工期和运营期的生态环境保护日常监管工作。</w:t>
      </w:r>
    </w:p>
    <w:p w14:paraId="1CB90E07" w14:textId="77777777" w:rsidR="000A1460" w:rsidRDefault="000A1460" w:rsidP="000A1460">
      <w:pPr>
        <w:wordWrap w:val="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长春市生态环境局    </w:t>
      </w:r>
    </w:p>
    <w:p w14:paraId="025BE323" w14:textId="7EC64AFB" w:rsidR="000A1460" w:rsidRDefault="000A1460" w:rsidP="000A1460">
      <w:pPr>
        <w:wordWrap w:val="0"/>
        <w:jc w:val="right"/>
        <w:rPr>
          <w:rFonts w:ascii="仿宋_GB2312" w:eastAsia="仿宋_GB2312" w:hAnsi="仿宋_GB2312" w:cs="仿宋_GB2312"/>
          <w:sz w:val="32"/>
          <w:szCs w:val="32"/>
        </w:rPr>
      </w:pPr>
      <w:r>
        <w:rPr>
          <w:rFonts w:ascii="仿宋_GB2312" w:eastAsia="仿宋_GB2312" w:hAnsi="仿宋_GB2312" w:cs="仿宋_GB2312" w:hint="eastAsia"/>
          <w:sz w:val="32"/>
          <w:szCs w:val="32"/>
        </w:rPr>
        <w:t>202</w:t>
      </w:r>
      <w:r w:rsidR="00C4362E">
        <w:rPr>
          <w:rFonts w:ascii="仿宋_GB2312" w:eastAsia="仿宋_GB2312" w:hAnsi="仿宋_GB2312" w:cs="仿宋_GB2312"/>
          <w:sz w:val="32"/>
          <w:szCs w:val="32"/>
        </w:rPr>
        <w:t>6</w:t>
      </w:r>
      <w:r>
        <w:rPr>
          <w:rFonts w:ascii="仿宋_GB2312" w:eastAsia="仿宋_GB2312" w:hAnsi="仿宋_GB2312" w:cs="仿宋_GB2312" w:hint="eastAsia"/>
          <w:sz w:val="32"/>
          <w:szCs w:val="32"/>
        </w:rPr>
        <w:t>年</w:t>
      </w:r>
      <w:r w:rsidR="005B522C">
        <w:rPr>
          <w:rFonts w:ascii="仿宋_GB2312" w:eastAsia="仿宋_GB2312" w:hAnsi="仿宋_GB2312" w:cs="仿宋_GB2312"/>
          <w:sz w:val="32"/>
          <w:szCs w:val="32"/>
        </w:rPr>
        <w:t>9</w:t>
      </w:r>
      <w:r>
        <w:rPr>
          <w:rFonts w:ascii="仿宋_GB2312" w:eastAsia="仿宋_GB2312" w:hAnsi="仿宋_GB2312" w:cs="仿宋_GB2312" w:hint="eastAsia"/>
          <w:sz w:val="32"/>
          <w:szCs w:val="32"/>
        </w:rPr>
        <w:t>月</w:t>
      </w:r>
      <w:bookmarkStart w:id="0" w:name="_GoBack"/>
      <w:bookmarkEnd w:id="0"/>
      <w:r w:rsidR="005B522C">
        <w:rPr>
          <w:rFonts w:ascii="仿宋_GB2312" w:eastAsia="仿宋_GB2312" w:hAnsi="仿宋_GB2312" w:cs="仿宋_GB2312"/>
          <w:sz w:val="32"/>
          <w:szCs w:val="32"/>
        </w:rPr>
        <w:t>10</w:t>
      </w:r>
      <w:r>
        <w:rPr>
          <w:rFonts w:ascii="仿宋_GB2312" w:eastAsia="仿宋_GB2312" w:hAnsi="仿宋_GB2312" w:cs="仿宋_GB2312" w:hint="eastAsia"/>
          <w:sz w:val="32"/>
          <w:szCs w:val="32"/>
        </w:rPr>
        <w:t>日</w:t>
      </w:r>
      <w:r w:rsidR="00710A8C">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p>
    <w:sectPr w:rsidR="000A1460">
      <w:pgSz w:w="11906" w:h="16838"/>
      <w:pgMar w:top="2098" w:right="1474" w:bottom="1984" w:left="158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237DB5" w14:textId="77777777" w:rsidR="00B32B9F" w:rsidRDefault="00B32B9F" w:rsidP="0028188E">
      <w:r>
        <w:separator/>
      </w:r>
    </w:p>
  </w:endnote>
  <w:endnote w:type="continuationSeparator" w:id="0">
    <w:p w14:paraId="4C0F9882" w14:textId="77777777" w:rsidR="00B32B9F" w:rsidRDefault="00B32B9F" w:rsidP="00281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D2A692" w14:textId="77777777" w:rsidR="00B32B9F" w:rsidRDefault="00B32B9F" w:rsidP="0028188E">
      <w:r>
        <w:separator/>
      </w:r>
    </w:p>
  </w:footnote>
  <w:footnote w:type="continuationSeparator" w:id="0">
    <w:p w14:paraId="5191917B" w14:textId="77777777" w:rsidR="00B32B9F" w:rsidRDefault="00B32B9F" w:rsidP="002818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580007"/>
    <w:rsid w:val="00002B95"/>
    <w:rsid w:val="000209C7"/>
    <w:rsid w:val="00037E1B"/>
    <w:rsid w:val="000A1460"/>
    <w:rsid w:val="000B33F1"/>
    <w:rsid w:val="000C192B"/>
    <w:rsid w:val="00126E21"/>
    <w:rsid w:val="00137022"/>
    <w:rsid w:val="00156D99"/>
    <w:rsid w:val="00170F1E"/>
    <w:rsid w:val="00173E99"/>
    <w:rsid w:val="0017526C"/>
    <w:rsid w:val="001B2961"/>
    <w:rsid w:val="001C3CC1"/>
    <w:rsid w:val="0028188E"/>
    <w:rsid w:val="002A7F94"/>
    <w:rsid w:val="002B6A79"/>
    <w:rsid w:val="002E601F"/>
    <w:rsid w:val="002F1CEC"/>
    <w:rsid w:val="002F28D6"/>
    <w:rsid w:val="00301698"/>
    <w:rsid w:val="00331106"/>
    <w:rsid w:val="00353BB5"/>
    <w:rsid w:val="00354782"/>
    <w:rsid w:val="0039539A"/>
    <w:rsid w:val="003D65A7"/>
    <w:rsid w:val="00434DE1"/>
    <w:rsid w:val="00503777"/>
    <w:rsid w:val="005325B5"/>
    <w:rsid w:val="00551C2F"/>
    <w:rsid w:val="00571DE2"/>
    <w:rsid w:val="005739CC"/>
    <w:rsid w:val="005B522C"/>
    <w:rsid w:val="005D1EF0"/>
    <w:rsid w:val="00605890"/>
    <w:rsid w:val="00637A24"/>
    <w:rsid w:val="006836C1"/>
    <w:rsid w:val="006C469A"/>
    <w:rsid w:val="006D136A"/>
    <w:rsid w:val="006E781B"/>
    <w:rsid w:val="007101F7"/>
    <w:rsid w:val="00710A8C"/>
    <w:rsid w:val="00765348"/>
    <w:rsid w:val="007E628C"/>
    <w:rsid w:val="00813C02"/>
    <w:rsid w:val="00840A8F"/>
    <w:rsid w:val="0087058D"/>
    <w:rsid w:val="008738EE"/>
    <w:rsid w:val="008748CB"/>
    <w:rsid w:val="008B1F7D"/>
    <w:rsid w:val="008C72E8"/>
    <w:rsid w:val="008D1FAD"/>
    <w:rsid w:val="008E149E"/>
    <w:rsid w:val="008E36FA"/>
    <w:rsid w:val="008E5AE8"/>
    <w:rsid w:val="00924D1C"/>
    <w:rsid w:val="00926E6C"/>
    <w:rsid w:val="009A0276"/>
    <w:rsid w:val="00A442B2"/>
    <w:rsid w:val="00A667AA"/>
    <w:rsid w:val="00A83C2A"/>
    <w:rsid w:val="00AD5DD6"/>
    <w:rsid w:val="00AE271B"/>
    <w:rsid w:val="00B07F27"/>
    <w:rsid w:val="00B256B1"/>
    <w:rsid w:val="00B32B9F"/>
    <w:rsid w:val="00B8150D"/>
    <w:rsid w:val="00B97759"/>
    <w:rsid w:val="00BA185C"/>
    <w:rsid w:val="00BC0A9A"/>
    <w:rsid w:val="00BD3EB9"/>
    <w:rsid w:val="00C04809"/>
    <w:rsid w:val="00C125CC"/>
    <w:rsid w:val="00C23742"/>
    <w:rsid w:val="00C4362E"/>
    <w:rsid w:val="00CA7EC2"/>
    <w:rsid w:val="00CC3F79"/>
    <w:rsid w:val="00CC7D6F"/>
    <w:rsid w:val="00D450C7"/>
    <w:rsid w:val="00D65F8C"/>
    <w:rsid w:val="00D86073"/>
    <w:rsid w:val="00DA5E9B"/>
    <w:rsid w:val="00E16053"/>
    <w:rsid w:val="00E60B87"/>
    <w:rsid w:val="00E72AD4"/>
    <w:rsid w:val="00E92A0E"/>
    <w:rsid w:val="00EE7A32"/>
    <w:rsid w:val="00F31E20"/>
    <w:rsid w:val="00F5737B"/>
    <w:rsid w:val="00F627BE"/>
    <w:rsid w:val="00FA30B0"/>
    <w:rsid w:val="00FD1EA6"/>
    <w:rsid w:val="2A383867"/>
    <w:rsid w:val="38580007"/>
    <w:rsid w:val="45DE76C0"/>
    <w:rsid w:val="48B87C5F"/>
    <w:rsid w:val="617F7A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C1F156"/>
  <w15:docId w15:val="{D7166CE7-EBF1-44BF-8456-461722EC7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Preformatted" w:semiHidden="1"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037E1B"/>
    <w:rPr>
      <w:sz w:val="18"/>
      <w:szCs w:val="18"/>
    </w:rPr>
  </w:style>
  <w:style w:type="character" w:customStyle="1" w:styleId="a4">
    <w:name w:val="批注框文本 字符"/>
    <w:basedOn w:val="a0"/>
    <w:link w:val="a3"/>
    <w:rsid w:val="00037E1B"/>
    <w:rPr>
      <w:kern w:val="2"/>
      <w:sz w:val="18"/>
      <w:szCs w:val="18"/>
    </w:rPr>
  </w:style>
  <w:style w:type="paragraph" w:styleId="a5">
    <w:name w:val="header"/>
    <w:basedOn w:val="a"/>
    <w:link w:val="a6"/>
    <w:rsid w:val="0028188E"/>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rsid w:val="0028188E"/>
    <w:rPr>
      <w:kern w:val="2"/>
      <w:sz w:val="18"/>
      <w:szCs w:val="18"/>
    </w:rPr>
  </w:style>
  <w:style w:type="paragraph" w:styleId="a7">
    <w:name w:val="footer"/>
    <w:basedOn w:val="a"/>
    <w:link w:val="a8"/>
    <w:rsid w:val="0028188E"/>
    <w:pPr>
      <w:tabs>
        <w:tab w:val="center" w:pos="4153"/>
        <w:tab w:val="right" w:pos="8306"/>
      </w:tabs>
      <w:snapToGrid w:val="0"/>
      <w:jc w:val="left"/>
    </w:pPr>
    <w:rPr>
      <w:sz w:val="18"/>
      <w:szCs w:val="18"/>
    </w:rPr>
  </w:style>
  <w:style w:type="character" w:customStyle="1" w:styleId="a8">
    <w:name w:val="页脚 字符"/>
    <w:basedOn w:val="a0"/>
    <w:link w:val="a7"/>
    <w:rsid w:val="0028188E"/>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3</Pages>
  <Words>201</Words>
  <Characters>1151</Characters>
  <Application>Microsoft Office Word</Application>
  <DocSecurity>0</DocSecurity>
  <Lines>9</Lines>
  <Paragraphs>2</Paragraphs>
  <ScaleCrop>false</ScaleCrop>
  <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付先生</dc:creator>
  <cp:lastModifiedBy>Admin</cp:lastModifiedBy>
  <cp:revision>44</cp:revision>
  <cp:lastPrinted>2025-05-09T06:04:00Z</cp:lastPrinted>
  <dcterms:created xsi:type="dcterms:W3CDTF">2025-03-25T02:47:00Z</dcterms:created>
  <dcterms:modified xsi:type="dcterms:W3CDTF">2026-09-11T03:04:00Z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3C6D30C4CA7548899776A315A76031FE_11</vt:lpwstr>
  </property>
  <property fmtid="{D5CDD505-2E9C-101B-9397-08002B2CF9AE}" pid="4" name="KSOTemplateDocerSaveRecord">
    <vt:lpwstr>eyJoZGlkIjoiODNhODMwMGFhZmI3MzNjODBmNTBmMmQ4MWVkYzY4MTEiLCJ1c2VySWQiOiI4MDcwNzM4ODYifQ==</vt:lpwstr>
  </property>
</Properties>
</file>